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FD346" w14:textId="569C4963" w:rsidR="00F35D79" w:rsidRPr="00231215" w:rsidRDefault="00231215" w:rsidP="00231215">
      <w:pPr>
        <w:pStyle w:val="Title"/>
        <w:jc w:val="center"/>
        <w:rPr>
          <w:rFonts w:ascii="Poppins" w:hAnsi="Poppins" w:cs="Poppins"/>
          <w:sz w:val="22"/>
          <w:szCs w:val="22"/>
        </w:rPr>
      </w:pPr>
      <w:r>
        <w:rPr>
          <w:rFonts w:ascii="Poppins" w:hAnsi="Poppins" w:cs="Poppins"/>
          <w:noProof/>
          <w:sz w:val="22"/>
          <w:szCs w:val="22"/>
        </w:rPr>
        <w:drawing>
          <wp:anchor distT="0" distB="0" distL="114300" distR="114300" simplePos="0" relativeHeight="251657216" behindDoc="0" locked="0" layoutInCell="1" allowOverlap="1" wp14:anchorId="5EDA92B7" wp14:editId="7F4EE872">
            <wp:simplePos x="0" y="0"/>
            <wp:positionH relativeFrom="column">
              <wp:posOffset>5821680</wp:posOffset>
            </wp:positionH>
            <wp:positionV relativeFrom="paragraph">
              <wp:posOffset>-132715</wp:posOffset>
            </wp:positionV>
            <wp:extent cx="754380" cy="754380"/>
            <wp:effectExtent l="0" t="0" r="7620" b="7620"/>
            <wp:wrapNone/>
            <wp:docPr id="21211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0919" name="Picture 212110919"/>
                    <pic:cNvPicPr/>
                  </pic:nvPicPr>
                  <pic:blipFill>
                    <a:blip r:embed="rId6"/>
                    <a:stretch>
                      <a:fillRect/>
                    </a:stretch>
                  </pic:blipFill>
                  <pic:spPr>
                    <a:xfrm>
                      <a:off x="0" y="0"/>
                      <a:ext cx="754380" cy="754380"/>
                    </a:xfrm>
                    <a:prstGeom prst="rect">
                      <a:avLst/>
                    </a:prstGeom>
                  </pic:spPr>
                </pic:pic>
              </a:graphicData>
            </a:graphic>
            <wp14:sizeRelH relativeFrom="page">
              <wp14:pctWidth>0</wp14:pctWidth>
            </wp14:sizeRelH>
            <wp14:sizeRelV relativeFrom="page">
              <wp14:pctHeight>0</wp14:pctHeight>
            </wp14:sizeRelV>
          </wp:anchor>
        </w:drawing>
      </w:r>
      <w:r w:rsidR="00B67096" w:rsidRPr="00231215">
        <w:rPr>
          <w:rFonts w:ascii="Poppins" w:hAnsi="Poppins" w:cs="Poppins"/>
          <w:sz w:val="22"/>
          <w:szCs w:val="22"/>
        </w:rPr>
        <w:t>Geography at Malvern Wells</w:t>
      </w:r>
    </w:p>
    <w:p w14:paraId="7408CCE3" w14:textId="77777777" w:rsidR="00F35D79" w:rsidRPr="00231215" w:rsidRDefault="00B67096">
      <w:pPr>
        <w:pStyle w:val="Heading1"/>
        <w:rPr>
          <w:rFonts w:ascii="Poppins" w:hAnsi="Poppins" w:cs="Poppins"/>
          <w:sz w:val="22"/>
          <w:szCs w:val="22"/>
        </w:rPr>
      </w:pPr>
      <w:r w:rsidRPr="00231215">
        <w:rPr>
          <w:rFonts w:ascii="Poppins" w:hAnsi="Poppins" w:cs="Poppins"/>
          <w:sz w:val="22"/>
          <w:szCs w:val="22"/>
        </w:rPr>
        <w:t>Intent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8853"/>
      </w:tblGrid>
      <w:tr w:rsidR="00F35D79" w:rsidRPr="00231215" w14:paraId="726F8531" w14:textId="77777777">
        <w:trPr>
          <w:cantSplit/>
        </w:trPr>
        <w:tc>
          <w:tcPr>
            <w:tcW w:w="1613" w:type="dxa"/>
            <w:shd w:val="clear" w:color="auto" w:fill="E9EEF2"/>
            <w:tcMar>
              <w:top w:w="55" w:type="dxa"/>
              <w:left w:w="55" w:type="dxa"/>
              <w:bottom w:w="55" w:type="dxa"/>
              <w:right w:w="55" w:type="dxa"/>
            </w:tcMar>
            <w:vAlign w:val="center"/>
          </w:tcPr>
          <w:p w14:paraId="10A923F8" w14:textId="77777777" w:rsidR="00F35D79" w:rsidRPr="00231215" w:rsidRDefault="00B67096">
            <w:pPr>
              <w:spacing w:after="0"/>
              <w:rPr>
                <w:rFonts w:ascii="Poppins" w:hAnsi="Poppins" w:cs="Poppins"/>
                <w:sz w:val="22"/>
              </w:rPr>
            </w:pPr>
            <w:r w:rsidRPr="00231215">
              <w:rPr>
                <w:rFonts w:ascii="Poppins" w:hAnsi="Poppins" w:cs="Poppins"/>
                <w:b/>
                <w:sz w:val="22"/>
              </w:rPr>
              <w:t>Subject Aim</w:t>
            </w:r>
          </w:p>
        </w:tc>
        <w:tc>
          <w:tcPr>
            <w:tcW w:w="8853" w:type="dxa"/>
            <w:tcMar>
              <w:top w:w="55" w:type="dxa"/>
              <w:left w:w="55" w:type="dxa"/>
              <w:bottom w:w="55" w:type="dxa"/>
              <w:right w:w="55" w:type="dxa"/>
            </w:tcMar>
            <w:vAlign w:val="center"/>
          </w:tcPr>
          <w:p w14:paraId="43D58C2D" w14:textId="77777777" w:rsidR="00F35D79" w:rsidRPr="00231215" w:rsidRDefault="00B67096">
            <w:pPr>
              <w:spacing w:after="0"/>
              <w:rPr>
                <w:rFonts w:ascii="Poppins" w:hAnsi="Poppins" w:cs="Poppins"/>
                <w:sz w:val="22"/>
              </w:rPr>
            </w:pPr>
            <w:r w:rsidRPr="00231215">
              <w:rPr>
                <w:rFonts w:ascii="Poppins" w:hAnsi="Poppins" w:cs="Poppins"/>
                <w:sz w:val="22"/>
              </w:rPr>
              <w:t xml:space="preserve">At Malvern Wells CE Primary School, geography helps children Let Their Light Shine by </w:t>
            </w:r>
            <w:r w:rsidRPr="00231215">
              <w:rPr>
                <w:rFonts w:ascii="Poppins" w:hAnsi="Poppins" w:cs="Poppins"/>
                <w:b/>
                <w:bCs/>
                <w:sz w:val="22"/>
              </w:rPr>
              <w:t>understanding their place in the world, investigating how places work and making thoughtful decisions about our shared environment.</w:t>
            </w:r>
            <w:r w:rsidRPr="00231215">
              <w:rPr>
                <w:rFonts w:ascii="Poppins" w:hAnsi="Poppins" w:cs="Poppins"/>
                <w:sz w:val="22"/>
              </w:rPr>
              <w:t xml:space="preserve"> Pupils learn to locate, describe, compare and explain using geographical evidence.</w:t>
            </w:r>
          </w:p>
        </w:tc>
      </w:tr>
      <w:tr w:rsidR="00F35D79" w:rsidRPr="00231215" w14:paraId="155DFE70" w14:textId="77777777">
        <w:trPr>
          <w:cantSplit/>
        </w:trPr>
        <w:tc>
          <w:tcPr>
            <w:tcW w:w="1613" w:type="dxa"/>
            <w:shd w:val="clear" w:color="auto" w:fill="E9EEF2"/>
            <w:tcMar>
              <w:top w:w="55" w:type="dxa"/>
              <w:left w:w="55" w:type="dxa"/>
              <w:bottom w:w="55" w:type="dxa"/>
              <w:right w:w="55" w:type="dxa"/>
            </w:tcMar>
            <w:vAlign w:val="center"/>
          </w:tcPr>
          <w:p w14:paraId="3B55A9C1" w14:textId="77777777" w:rsidR="00F35D79" w:rsidRPr="00231215" w:rsidRDefault="00B67096">
            <w:pPr>
              <w:spacing w:after="0"/>
              <w:rPr>
                <w:rFonts w:ascii="Poppins" w:hAnsi="Poppins" w:cs="Poppins"/>
                <w:sz w:val="22"/>
              </w:rPr>
            </w:pPr>
            <w:r w:rsidRPr="00231215">
              <w:rPr>
                <w:rFonts w:ascii="Poppins" w:hAnsi="Poppins" w:cs="Poppins"/>
                <w:b/>
                <w:sz w:val="22"/>
              </w:rPr>
              <w:t>Curriculum Design</w:t>
            </w:r>
          </w:p>
        </w:tc>
        <w:tc>
          <w:tcPr>
            <w:tcW w:w="8853" w:type="dxa"/>
            <w:tcMar>
              <w:top w:w="55" w:type="dxa"/>
              <w:left w:w="55" w:type="dxa"/>
              <w:bottom w:w="55" w:type="dxa"/>
              <w:right w:w="55" w:type="dxa"/>
            </w:tcMar>
            <w:vAlign w:val="center"/>
          </w:tcPr>
          <w:p w14:paraId="605E1BD1" w14:textId="77777777" w:rsidR="00F35D79" w:rsidRPr="00231215" w:rsidRDefault="00B67096">
            <w:pPr>
              <w:spacing w:after="0"/>
              <w:rPr>
                <w:rFonts w:ascii="Poppins" w:hAnsi="Poppins" w:cs="Poppins"/>
                <w:sz w:val="22"/>
              </w:rPr>
            </w:pPr>
            <w:r w:rsidRPr="00231215">
              <w:rPr>
                <w:rFonts w:ascii="Poppins" w:hAnsi="Poppins" w:cs="Poppins"/>
                <w:sz w:val="22"/>
              </w:rPr>
              <w:t>The mixed-age two-year curriculum builds component knowledge towards three composite outcomes in each unit. KS1 develops local observation, UK and world location, human and physical features, weather and simple maps. LKS2 deepens regional comparison, land use, weather and climate, tectonic and coastal processes, directions and grid references. UKS2 connects biomes, rivers, settlement, economic activity and sustainability through regional evidence and increasingly systematic fieldwork.</w:t>
            </w:r>
          </w:p>
        </w:tc>
      </w:tr>
      <w:tr w:rsidR="00F35D79" w:rsidRPr="00231215" w14:paraId="2E139B5E" w14:textId="77777777">
        <w:trPr>
          <w:cantSplit/>
        </w:trPr>
        <w:tc>
          <w:tcPr>
            <w:tcW w:w="1613" w:type="dxa"/>
            <w:shd w:val="clear" w:color="auto" w:fill="E9EEF2"/>
            <w:tcMar>
              <w:top w:w="55" w:type="dxa"/>
              <w:left w:w="55" w:type="dxa"/>
              <w:bottom w:w="55" w:type="dxa"/>
              <w:right w:w="55" w:type="dxa"/>
            </w:tcMar>
            <w:vAlign w:val="center"/>
          </w:tcPr>
          <w:p w14:paraId="51F6DC8A" w14:textId="77777777" w:rsidR="00F35D79" w:rsidRPr="00231215" w:rsidRDefault="00B67096">
            <w:pPr>
              <w:spacing w:after="0"/>
              <w:rPr>
                <w:rFonts w:ascii="Poppins" w:hAnsi="Poppins" w:cs="Poppins"/>
                <w:sz w:val="22"/>
              </w:rPr>
            </w:pPr>
            <w:r w:rsidRPr="00231215">
              <w:rPr>
                <w:rFonts w:ascii="Poppins" w:hAnsi="Poppins" w:cs="Poppins"/>
                <w:b/>
                <w:sz w:val="22"/>
              </w:rPr>
              <w:t>End Points</w:t>
            </w:r>
          </w:p>
        </w:tc>
        <w:tc>
          <w:tcPr>
            <w:tcW w:w="8853" w:type="dxa"/>
            <w:tcMar>
              <w:top w:w="55" w:type="dxa"/>
              <w:left w:w="55" w:type="dxa"/>
              <w:bottom w:w="55" w:type="dxa"/>
              <w:right w:w="55" w:type="dxa"/>
            </w:tcMar>
            <w:vAlign w:val="center"/>
          </w:tcPr>
          <w:p w14:paraId="06776969" w14:textId="77777777" w:rsidR="00F35D79" w:rsidRPr="00231215" w:rsidRDefault="00B67096">
            <w:pPr>
              <w:spacing w:after="0"/>
              <w:rPr>
                <w:rFonts w:ascii="Poppins" w:hAnsi="Poppins" w:cs="Poppins"/>
                <w:sz w:val="22"/>
              </w:rPr>
            </w:pPr>
            <w:r w:rsidRPr="00231215">
              <w:rPr>
                <w:rFonts w:ascii="Poppins" w:hAnsi="Poppins" w:cs="Poppins"/>
                <w:sz w:val="22"/>
              </w:rPr>
              <w:t>By Year 6, pupils explain relationships between physical processes and human decisions; compare named regions using matched evidence; use maps, latitude, longitude and grid references; collect and interpret fieldwork data; and recognise the limits of their conclusions.</w:t>
            </w:r>
          </w:p>
        </w:tc>
      </w:tr>
      <w:tr w:rsidR="00F35D79" w:rsidRPr="00231215" w14:paraId="248C8CF5" w14:textId="77777777">
        <w:trPr>
          <w:cantSplit/>
        </w:trPr>
        <w:tc>
          <w:tcPr>
            <w:tcW w:w="1613" w:type="dxa"/>
            <w:shd w:val="clear" w:color="auto" w:fill="E9EEF2"/>
            <w:tcMar>
              <w:top w:w="55" w:type="dxa"/>
              <w:left w:w="55" w:type="dxa"/>
              <w:bottom w:w="55" w:type="dxa"/>
              <w:right w:w="55" w:type="dxa"/>
            </w:tcMar>
            <w:vAlign w:val="center"/>
          </w:tcPr>
          <w:p w14:paraId="413C1DCB" w14:textId="77777777" w:rsidR="00F35D79" w:rsidRPr="00231215" w:rsidRDefault="00B67096">
            <w:pPr>
              <w:spacing w:after="0"/>
              <w:rPr>
                <w:rFonts w:ascii="Poppins" w:hAnsi="Poppins" w:cs="Poppins"/>
                <w:sz w:val="22"/>
              </w:rPr>
            </w:pPr>
            <w:r w:rsidRPr="00231215">
              <w:rPr>
                <w:rFonts w:ascii="Poppins" w:hAnsi="Poppins" w:cs="Poppins"/>
                <w:b/>
                <w:sz w:val="22"/>
              </w:rPr>
              <w:t>Threshold Concepts</w:t>
            </w:r>
          </w:p>
        </w:tc>
        <w:tc>
          <w:tcPr>
            <w:tcW w:w="8853" w:type="dxa"/>
            <w:tcMar>
              <w:top w:w="55" w:type="dxa"/>
              <w:left w:w="55" w:type="dxa"/>
              <w:bottom w:w="55" w:type="dxa"/>
              <w:right w:w="55" w:type="dxa"/>
            </w:tcMar>
            <w:vAlign w:val="center"/>
          </w:tcPr>
          <w:p w14:paraId="3A4FDAE0" w14:textId="77777777" w:rsidR="00F35D79" w:rsidRPr="00231215" w:rsidRDefault="00B67096">
            <w:pPr>
              <w:spacing w:after="0"/>
              <w:rPr>
                <w:rFonts w:ascii="Poppins" w:hAnsi="Poppins" w:cs="Poppins"/>
                <w:sz w:val="22"/>
              </w:rPr>
            </w:pPr>
            <w:r w:rsidRPr="00231215">
              <w:rPr>
                <w:rFonts w:ascii="Poppins" w:hAnsi="Poppins" w:cs="Poppins"/>
                <w:sz w:val="22"/>
              </w:rPr>
              <w:t>Place • Space • Scale • Physical and human processes • Interdependence • Environmental impact • Sustainable development</w:t>
            </w:r>
          </w:p>
        </w:tc>
      </w:tr>
      <w:tr w:rsidR="00F35D79" w:rsidRPr="00231215" w14:paraId="446449AD" w14:textId="77777777">
        <w:trPr>
          <w:cantSplit/>
        </w:trPr>
        <w:tc>
          <w:tcPr>
            <w:tcW w:w="1613" w:type="dxa"/>
            <w:shd w:val="clear" w:color="auto" w:fill="E9EEF2"/>
            <w:tcMar>
              <w:top w:w="55" w:type="dxa"/>
              <w:left w:w="55" w:type="dxa"/>
              <w:bottom w:w="55" w:type="dxa"/>
              <w:right w:w="55" w:type="dxa"/>
            </w:tcMar>
            <w:vAlign w:val="center"/>
          </w:tcPr>
          <w:p w14:paraId="3F0854B7" w14:textId="77777777" w:rsidR="00F35D79" w:rsidRPr="00231215" w:rsidRDefault="00B67096">
            <w:pPr>
              <w:spacing w:after="0"/>
              <w:rPr>
                <w:rFonts w:ascii="Poppins" w:hAnsi="Poppins" w:cs="Poppins"/>
                <w:sz w:val="22"/>
              </w:rPr>
            </w:pPr>
            <w:r w:rsidRPr="00231215">
              <w:rPr>
                <w:rFonts w:ascii="Poppins" w:hAnsi="Poppins" w:cs="Poppins"/>
                <w:b/>
                <w:sz w:val="22"/>
              </w:rPr>
              <w:t>Golden Threads</w:t>
            </w:r>
          </w:p>
        </w:tc>
        <w:tc>
          <w:tcPr>
            <w:tcW w:w="8853" w:type="dxa"/>
            <w:tcMar>
              <w:top w:w="55" w:type="dxa"/>
              <w:left w:w="55" w:type="dxa"/>
              <w:bottom w:w="55" w:type="dxa"/>
              <w:right w:w="55" w:type="dxa"/>
            </w:tcMar>
            <w:vAlign w:val="center"/>
          </w:tcPr>
          <w:p w14:paraId="3DA6D5C9" w14:textId="77777777" w:rsidR="00F35D79" w:rsidRPr="00231215" w:rsidRDefault="00B67096">
            <w:pPr>
              <w:spacing w:after="0"/>
              <w:rPr>
                <w:rFonts w:ascii="Poppins" w:hAnsi="Poppins" w:cs="Poppins"/>
                <w:sz w:val="22"/>
              </w:rPr>
            </w:pPr>
            <w:r w:rsidRPr="00231215">
              <w:rPr>
                <w:rFonts w:ascii="Poppins" w:hAnsi="Poppins" w:cs="Poppins"/>
                <w:sz w:val="22"/>
              </w:rPr>
              <w:t>Location and place knowledge • Human and physical connections • Maps and geographical representation • Fieldwork and evidence • Change and sustainability • Accurate comparison without stereotypes</w:t>
            </w:r>
          </w:p>
        </w:tc>
      </w:tr>
    </w:tbl>
    <w:p w14:paraId="566B3A87" w14:textId="77777777" w:rsidR="00F35D79" w:rsidRPr="00231215" w:rsidRDefault="00B67096">
      <w:pPr>
        <w:pStyle w:val="Heading1"/>
        <w:rPr>
          <w:rFonts w:ascii="Poppins" w:hAnsi="Poppins" w:cs="Poppins"/>
          <w:sz w:val="22"/>
          <w:szCs w:val="22"/>
        </w:rPr>
      </w:pPr>
      <w:r w:rsidRPr="00231215">
        <w:rPr>
          <w:rFonts w:ascii="Poppins" w:hAnsi="Poppins" w:cs="Poppins"/>
          <w:sz w:val="22"/>
          <w:szCs w:val="22"/>
        </w:rPr>
        <w:t>Implementation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8853"/>
      </w:tblGrid>
      <w:tr w:rsidR="00F35D79" w:rsidRPr="00231215" w14:paraId="0833779C" w14:textId="77777777">
        <w:trPr>
          <w:cantSplit/>
        </w:trPr>
        <w:tc>
          <w:tcPr>
            <w:tcW w:w="1613" w:type="dxa"/>
            <w:shd w:val="clear" w:color="auto" w:fill="E9EEF2"/>
            <w:tcMar>
              <w:top w:w="55" w:type="dxa"/>
              <w:left w:w="55" w:type="dxa"/>
              <w:bottom w:w="55" w:type="dxa"/>
              <w:right w:w="55" w:type="dxa"/>
            </w:tcMar>
            <w:vAlign w:val="center"/>
          </w:tcPr>
          <w:p w14:paraId="6AB12E39" w14:textId="77777777" w:rsidR="00F35D79" w:rsidRPr="00231215" w:rsidRDefault="00B67096">
            <w:pPr>
              <w:spacing w:after="0"/>
              <w:rPr>
                <w:rFonts w:ascii="Poppins" w:hAnsi="Poppins" w:cs="Poppins"/>
                <w:sz w:val="22"/>
              </w:rPr>
            </w:pPr>
            <w:r w:rsidRPr="00231215">
              <w:rPr>
                <w:rFonts w:ascii="Poppins" w:hAnsi="Poppins" w:cs="Poppins"/>
                <w:b/>
                <w:sz w:val="22"/>
              </w:rPr>
              <w:t>Timetabling</w:t>
            </w:r>
          </w:p>
        </w:tc>
        <w:tc>
          <w:tcPr>
            <w:tcW w:w="8853" w:type="dxa"/>
            <w:tcMar>
              <w:top w:w="55" w:type="dxa"/>
              <w:left w:w="55" w:type="dxa"/>
              <w:bottom w:w="55" w:type="dxa"/>
              <w:right w:w="55" w:type="dxa"/>
            </w:tcMar>
            <w:vAlign w:val="center"/>
          </w:tcPr>
          <w:p w14:paraId="2A47311A" w14:textId="77777777" w:rsidR="00F35D79" w:rsidRPr="00231215" w:rsidRDefault="00B67096">
            <w:pPr>
              <w:spacing w:after="0"/>
              <w:rPr>
                <w:rFonts w:ascii="Poppins" w:hAnsi="Poppins" w:cs="Poppins"/>
                <w:sz w:val="22"/>
              </w:rPr>
            </w:pPr>
            <w:r w:rsidRPr="00231215">
              <w:rPr>
                <w:rFonts w:ascii="Poppins" w:hAnsi="Poppins" w:cs="Poppins"/>
                <w:sz w:val="22"/>
              </w:rPr>
              <w:t>Teach the agreed mixed-age cycle in planned enquiry units, including the fieldwork specified in the MTPs. Check entry knowledge in either cycle rather than assuming the other cycle has been taught.</w:t>
            </w:r>
          </w:p>
        </w:tc>
      </w:tr>
      <w:tr w:rsidR="00F35D79" w:rsidRPr="00231215" w14:paraId="42AC8910" w14:textId="77777777">
        <w:trPr>
          <w:cantSplit/>
        </w:trPr>
        <w:tc>
          <w:tcPr>
            <w:tcW w:w="1613" w:type="dxa"/>
            <w:shd w:val="clear" w:color="auto" w:fill="E9EEF2"/>
            <w:tcMar>
              <w:top w:w="55" w:type="dxa"/>
              <w:left w:w="55" w:type="dxa"/>
              <w:bottom w:w="55" w:type="dxa"/>
              <w:right w:w="55" w:type="dxa"/>
            </w:tcMar>
            <w:vAlign w:val="center"/>
          </w:tcPr>
          <w:p w14:paraId="398041E3" w14:textId="77777777" w:rsidR="00F35D79" w:rsidRPr="00231215" w:rsidRDefault="00B67096">
            <w:pPr>
              <w:spacing w:after="0"/>
              <w:rPr>
                <w:rFonts w:ascii="Poppins" w:hAnsi="Poppins" w:cs="Poppins"/>
                <w:sz w:val="22"/>
              </w:rPr>
            </w:pPr>
            <w:r w:rsidRPr="00231215">
              <w:rPr>
                <w:rFonts w:ascii="Poppins" w:hAnsi="Poppins" w:cs="Poppins"/>
                <w:b/>
                <w:sz w:val="22"/>
              </w:rPr>
              <w:t>Lesson Structure</w:t>
            </w:r>
          </w:p>
        </w:tc>
        <w:tc>
          <w:tcPr>
            <w:tcW w:w="8853" w:type="dxa"/>
            <w:tcMar>
              <w:top w:w="55" w:type="dxa"/>
              <w:left w:w="55" w:type="dxa"/>
              <w:bottom w:w="55" w:type="dxa"/>
              <w:right w:w="55" w:type="dxa"/>
            </w:tcMar>
            <w:vAlign w:val="center"/>
          </w:tcPr>
          <w:p w14:paraId="086C6D5F" w14:textId="77777777" w:rsidR="00F35D79" w:rsidRPr="00231215" w:rsidRDefault="00B67096">
            <w:pPr>
              <w:spacing w:after="0"/>
              <w:rPr>
                <w:rFonts w:ascii="Poppins" w:hAnsi="Poppins" w:cs="Poppins"/>
                <w:sz w:val="22"/>
              </w:rPr>
            </w:pPr>
            <w:r w:rsidRPr="00231215">
              <w:rPr>
                <w:rFonts w:ascii="Poppins" w:hAnsi="Poppins" w:cs="Poppins"/>
                <w:sz w:val="22"/>
              </w:rPr>
              <w:t xml:space="preserve">Do It Now retrieval </w:t>
            </w:r>
            <w:r w:rsidRPr="00231215">
              <w:rPr>
                <w:rFonts w:ascii="Times New Roman" w:hAnsi="Times New Roman" w:cs="Times New Roman"/>
                <w:sz w:val="22"/>
              </w:rPr>
              <w:t>→</w:t>
            </w:r>
            <w:r w:rsidRPr="00231215">
              <w:rPr>
                <w:rFonts w:ascii="Poppins" w:hAnsi="Poppins" w:cs="Poppins"/>
                <w:sz w:val="22"/>
              </w:rPr>
              <w:t xml:space="preserve"> Apply It using secure earlier knowledge in a fresh context </w:t>
            </w:r>
            <w:r w:rsidRPr="00231215">
              <w:rPr>
                <w:rFonts w:ascii="Times New Roman" w:hAnsi="Times New Roman" w:cs="Times New Roman"/>
                <w:sz w:val="22"/>
              </w:rPr>
              <w:t>→</w:t>
            </w:r>
            <w:r w:rsidRPr="00231215">
              <w:rPr>
                <w:rFonts w:ascii="Poppins" w:hAnsi="Poppins" w:cs="Poppins"/>
                <w:sz w:val="22"/>
              </w:rPr>
              <w:t xml:space="preserve"> Enquiry and explicit teaching </w:t>
            </w:r>
            <w:r w:rsidRPr="00231215">
              <w:rPr>
                <w:rFonts w:ascii="Times New Roman" w:hAnsi="Times New Roman" w:cs="Times New Roman"/>
                <w:sz w:val="22"/>
              </w:rPr>
              <w:t>→</w:t>
            </w:r>
            <w:r w:rsidRPr="00231215">
              <w:rPr>
                <w:rFonts w:ascii="Poppins" w:hAnsi="Poppins" w:cs="Poppins"/>
                <w:sz w:val="22"/>
              </w:rPr>
              <w:t xml:space="preserve"> Modelled and guided geographical practice </w:t>
            </w:r>
            <w:r w:rsidRPr="00231215">
              <w:rPr>
                <w:rFonts w:ascii="Times New Roman" w:hAnsi="Times New Roman" w:cs="Times New Roman"/>
                <w:sz w:val="22"/>
              </w:rPr>
              <w:t>→</w:t>
            </w:r>
            <w:r w:rsidRPr="00231215">
              <w:rPr>
                <w:rFonts w:ascii="Poppins" w:hAnsi="Poppins" w:cs="Poppins"/>
                <w:sz w:val="22"/>
              </w:rPr>
              <w:t xml:space="preserve"> Independent application </w:t>
            </w:r>
            <w:r w:rsidRPr="00231215">
              <w:rPr>
                <w:rFonts w:ascii="Times New Roman" w:hAnsi="Times New Roman" w:cs="Times New Roman"/>
                <w:sz w:val="22"/>
              </w:rPr>
              <w:t>→</w:t>
            </w:r>
            <w:r w:rsidRPr="00231215">
              <w:rPr>
                <w:rFonts w:ascii="Poppins" w:hAnsi="Poppins" w:cs="Poppins"/>
                <w:sz w:val="22"/>
              </w:rPr>
              <w:t xml:space="preserve"> Review against the Can I question.</w:t>
            </w:r>
          </w:p>
        </w:tc>
      </w:tr>
      <w:tr w:rsidR="00F35D79" w:rsidRPr="00231215" w14:paraId="3664E0E5" w14:textId="77777777">
        <w:trPr>
          <w:cantSplit/>
        </w:trPr>
        <w:tc>
          <w:tcPr>
            <w:tcW w:w="1613" w:type="dxa"/>
            <w:shd w:val="clear" w:color="auto" w:fill="E9EEF2"/>
            <w:tcMar>
              <w:top w:w="55" w:type="dxa"/>
              <w:left w:w="55" w:type="dxa"/>
              <w:bottom w:w="55" w:type="dxa"/>
              <w:right w:w="55" w:type="dxa"/>
            </w:tcMar>
            <w:vAlign w:val="center"/>
          </w:tcPr>
          <w:p w14:paraId="70130373" w14:textId="77777777" w:rsidR="00F35D79" w:rsidRPr="00231215" w:rsidRDefault="00B67096">
            <w:pPr>
              <w:spacing w:after="0"/>
              <w:rPr>
                <w:rFonts w:ascii="Poppins" w:hAnsi="Poppins" w:cs="Poppins"/>
                <w:sz w:val="22"/>
              </w:rPr>
            </w:pPr>
            <w:r w:rsidRPr="00231215">
              <w:rPr>
                <w:rFonts w:ascii="Poppins" w:hAnsi="Poppins" w:cs="Poppins"/>
                <w:b/>
                <w:sz w:val="22"/>
              </w:rPr>
              <w:t>Non-Negotiables</w:t>
            </w:r>
          </w:p>
        </w:tc>
        <w:tc>
          <w:tcPr>
            <w:tcW w:w="8853" w:type="dxa"/>
            <w:tcMar>
              <w:top w:w="55" w:type="dxa"/>
              <w:left w:w="55" w:type="dxa"/>
              <w:bottom w:w="55" w:type="dxa"/>
              <w:right w:w="55" w:type="dxa"/>
            </w:tcMar>
            <w:vAlign w:val="center"/>
          </w:tcPr>
          <w:p w14:paraId="57A17547" w14:textId="77777777" w:rsidR="00231215" w:rsidRPr="00231215" w:rsidRDefault="00231215" w:rsidP="00231215">
            <w:pPr>
              <w:pStyle w:val="ListParagraph"/>
              <w:numPr>
                <w:ilvl w:val="0"/>
                <w:numId w:val="10"/>
              </w:numPr>
              <w:spacing w:after="0"/>
              <w:rPr>
                <w:rFonts w:ascii="Poppins" w:hAnsi="Poppins" w:cs="Poppins"/>
                <w:sz w:val="20"/>
                <w:szCs w:val="20"/>
                <w:lang w:val="en-GB"/>
              </w:rPr>
            </w:pPr>
            <w:r w:rsidRPr="00231215">
              <w:rPr>
                <w:rFonts w:ascii="Poppins" w:hAnsi="Poppins" w:cs="Poppins"/>
                <w:sz w:val="20"/>
                <w:szCs w:val="20"/>
                <w:lang w:val="en-GB"/>
              </w:rPr>
              <w:t>Teach the identified component knowledge, with no more than three essential components per lesson, building towards the coloured composite outcomes.</w:t>
            </w:r>
          </w:p>
          <w:p w14:paraId="157B2831" w14:textId="77777777" w:rsidR="00231215" w:rsidRPr="00231215" w:rsidRDefault="00231215" w:rsidP="00231215">
            <w:pPr>
              <w:pStyle w:val="ListParagraph"/>
              <w:numPr>
                <w:ilvl w:val="0"/>
                <w:numId w:val="10"/>
              </w:numPr>
              <w:spacing w:after="0"/>
              <w:rPr>
                <w:rFonts w:ascii="Poppins" w:hAnsi="Poppins" w:cs="Poppins"/>
                <w:sz w:val="20"/>
                <w:szCs w:val="20"/>
                <w:lang w:val="en-GB"/>
              </w:rPr>
            </w:pPr>
            <w:r w:rsidRPr="00231215">
              <w:rPr>
                <w:rFonts w:ascii="Poppins" w:hAnsi="Poppins" w:cs="Poppins"/>
                <w:sz w:val="20"/>
                <w:szCs w:val="20"/>
                <w:lang w:val="en-GB"/>
              </w:rPr>
              <w:t xml:space="preserve">Begin every lesson with retrieval. </w:t>
            </w:r>
          </w:p>
          <w:p w14:paraId="681D078C" w14:textId="6F511AB9" w:rsidR="00231215" w:rsidRPr="00231215" w:rsidRDefault="00231215" w:rsidP="00231215">
            <w:pPr>
              <w:pStyle w:val="ListParagraph"/>
              <w:numPr>
                <w:ilvl w:val="0"/>
                <w:numId w:val="10"/>
              </w:numPr>
              <w:spacing w:after="0"/>
              <w:rPr>
                <w:rFonts w:ascii="Poppins" w:hAnsi="Poppins" w:cs="Poppins"/>
                <w:sz w:val="20"/>
                <w:szCs w:val="20"/>
                <w:lang w:val="en-GB"/>
              </w:rPr>
            </w:pPr>
            <w:r w:rsidRPr="00231215">
              <w:rPr>
                <w:rFonts w:ascii="Poppins" w:hAnsi="Poppins" w:cs="Poppins"/>
                <w:sz w:val="20"/>
                <w:szCs w:val="20"/>
                <w:lang w:val="en-GB"/>
              </w:rPr>
              <w:t>Provide flexible application of secure prior knowledge in a different context.</w:t>
            </w:r>
          </w:p>
          <w:p w14:paraId="3CB78623" w14:textId="77777777" w:rsidR="00231215" w:rsidRPr="00231215" w:rsidRDefault="00231215" w:rsidP="00231215">
            <w:pPr>
              <w:pStyle w:val="ListParagraph"/>
              <w:numPr>
                <w:ilvl w:val="0"/>
                <w:numId w:val="10"/>
              </w:numPr>
              <w:spacing w:after="0"/>
              <w:rPr>
                <w:rFonts w:ascii="Poppins" w:hAnsi="Poppins" w:cs="Poppins"/>
                <w:sz w:val="20"/>
                <w:szCs w:val="20"/>
                <w:lang w:val="en-GB"/>
              </w:rPr>
            </w:pPr>
            <w:r w:rsidRPr="00231215">
              <w:rPr>
                <w:rFonts w:ascii="Poppins" w:hAnsi="Poppins" w:cs="Poppins"/>
                <w:sz w:val="20"/>
                <w:szCs w:val="20"/>
                <w:lang w:val="en-GB"/>
              </w:rPr>
              <w:t>Revisit the location of studied places and explicitly teach, revisit and apply geographical vocabulary.</w:t>
            </w:r>
          </w:p>
          <w:p w14:paraId="67A1C55A" w14:textId="77777777" w:rsidR="00231215" w:rsidRPr="00231215" w:rsidRDefault="00231215" w:rsidP="00231215">
            <w:pPr>
              <w:pStyle w:val="ListParagraph"/>
              <w:numPr>
                <w:ilvl w:val="0"/>
                <w:numId w:val="10"/>
              </w:numPr>
              <w:spacing w:after="0"/>
              <w:rPr>
                <w:rFonts w:ascii="Poppins" w:hAnsi="Poppins" w:cs="Poppins"/>
                <w:sz w:val="20"/>
                <w:szCs w:val="20"/>
                <w:lang w:val="en-GB"/>
              </w:rPr>
            </w:pPr>
            <w:r w:rsidRPr="00231215">
              <w:rPr>
                <w:rFonts w:ascii="Poppins" w:hAnsi="Poppins" w:cs="Poppins"/>
                <w:sz w:val="20"/>
                <w:szCs w:val="20"/>
                <w:lang w:val="en-GB"/>
              </w:rPr>
              <w:t>Teach geographical distinctions accurately, including human and physical features, weather and climate, and observation and explanation.</w:t>
            </w:r>
          </w:p>
          <w:p w14:paraId="24784E69" w14:textId="42A92DDC" w:rsidR="00F35D79" w:rsidRPr="00231215" w:rsidRDefault="00231215" w:rsidP="00231215">
            <w:pPr>
              <w:pStyle w:val="ListParagraph"/>
              <w:numPr>
                <w:ilvl w:val="0"/>
                <w:numId w:val="10"/>
              </w:numPr>
              <w:spacing w:after="0"/>
              <w:rPr>
                <w:rFonts w:ascii="Poppins" w:hAnsi="Poppins" w:cs="Poppins"/>
                <w:sz w:val="22"/>
                <w:lang w:val="en-GB"/>
              </w:rPr>
            </w:pPr>
            <w:r w:rsidRPr="00231215">
              <w:rPr>
                <w:rFonts w:ascii="Poppins" w:hAnsi="Poppins" w:cs="Poppins"/>
                <w:sz w:val="20"/>
                <w:szCs w:val="20"/>
                <w:lang w:val="en-GB"/>
              </w:rPr>
              <w:t>Compare places using matching categories. Link observations and evidence to specific locations, support conclusions with evidence and recognise its limitations. One photograph or example cannot represent an entire region.</w:t>
            </w:r>
          </w:p>
        </w:tc>
      </w:tr>
      <w:tr w:rsidR="00F35D79" w:rsidRPr="00231215" w14:paraId="27185984" w14:textId="77777777">
        <w:trPr>
          <w:cantSplit/>
        </w:trPr>
        <w:tc>
          <w:tcPr>
            <w:tcW w:w="1613" w:type="dxa"/>
            <w:shd w:val="clear" w:color="auto" w:fill="E9EEF2"/>
            <w:tcMar>
              <w:top w:w="55" w:type="dxa"/>
              <w:left w:w="55" w:type="dxa"/>
              <w:bottom w:w="55" w:type="dxa"/>
              <w:right w:w="55" w:type="dxa"/>
            </w:tcMar>
            <w:vAlign w:val="center"/>
          </w:tcPr>
          <w:p w14:paraId="5714875C" w14:textId="77777777" w:rsidR="00F35D79" w:rsidRPr="00231215" w:rsidRDefault="00B67096">
            <w:pPr>
              <w:spacing w:after="0"/>
              <w:rPr>
                <w:rFonts w:ascii="Poppins" w:hAnsi="Poppins" w:cs="Poppins"/>
                <w:sz w:val="22"/>
              </w:rPr>
            </w:pPr>
            <w:r w:rsidRPr="00231215">
              <w:rPr>
                <w:rFonts w:ascii="Poppins" w:hAnsi="Poppins" w:cs="Poppins"/>
                <w:b/>
                <w:sz w:val="22"/>
              </w:rPr>
              <w:lastRenderedPageBreak/>
              <w:t>Teacher Expectations</w:t>
            </w:r>
          </w:p>
        </w:tc>
        <w:tc>
          <w:tcPr>
            <w:tcW w:w="8853" w:type="dxa"/>
            <w:tcMar>
              <w:top w:w="55" w:type="dxa"/>
              <w:left w:w="55" w:type="dxa"/>
              <w:bottom w:w="55" w:type="dxa"/>
              <w:right w:w="55" w:type="dxa"/>
            </w:tcMar>
            <w:vAlign w:val="center"/>
          </w:tcPr>
          <w:p w14:paraId="4999A9EA" w14:textId="77777777" w:rsidR="00F35D79" w:rsidRPr="00231215" w:rsidRDefault="00B67096">
            <w:pPr>
              <w:spacing w:after="0"/>
              <w:rPr>
                <w:rFonts w:ascii="Poppins" w:hAnsi="Poppins" w:cs="Poppins"/>
                <w:sz w:val="22"/>
              </w:rPr>
            </w:pPr>
            <w:r w:rsidRPr="00231215">
              <w:rPr>
                <w:rFonts w:ascii="Poppins" w:hAnsi="Poppins" w:cs="Poppins"/>
                <w:sz w:val="22"/>
              </w:rPr>
              <w:t>Prepare maps, sources and fieldwork methods; model geographical reasoning and check misconceptions. Make connections from Malvern Wells and the West Midlands to studied places, including Worcester, Tulum, Campania, Brazil and California.</w:t>
            </w:r>
          </w:p>
        </w:tc>
      </w:tr>
      <w:tr w:rsidR="00F35D79" w:rsidRPr="00231215" w14:paraId="3D57BD25" w14:textId="77777777">
        <w:trPr>
          <w:cantSplit/>
        </w:trPr>
        <w:tc>
          <w:tcPr>
            <w:tcW w:w="1613" w:type="dxa"/>
            <w:shd w:val="clear" w:color="auto" w:fill="E9EEF2"/>
            <w:tcMar>
              <w:top w:w="55" w:type="dxa"/>
              <w:left w:w="55" w:type="dxa"/>
              <w:bottom w:w="55" w:type="dxa"/>
              <w:right w:w="55" w:type="dxa"/>
            </w:tcMar>
            <w:vAlign w:val="center"/>
          </w:tcPr>
          <w:p w14:paraId="6C2ED8D2" w14:textId="77777777" w:rsidR="00F35D79" w:rsidRPr="00231215" w:rsidRDefault="00B67096">
            <w:pPr>
              <w:spacing w:after="0"/>
              <w:rPr>
                <w:rFonts w:ascii="Poppins" w:hAnsi="Poppins" w:cs="Poppins"/>
                <w:sz w:val="22"/>
              </w:rPr>
            </w:pPr>
            <w:r w:rsidRPr="00231215">
              <w:rPr>
                <w:rFonts w:ascii="Poppins" w:hAnsi="Poppins" w:cs="Poppins"/>
                <w:b/>
                <w:sz w:val="22"/>
              </w:rPr>
              <w:t>Assessment</w:t>
            </w:r>
          </w:p>
        </w:tc>
        <w:tc>
          <w:tcPr>
            <w:tcW w:w="8853" w:type="dxa"/>
            <w:tcMar>
              <w:top w:w="55" w:type="dxa"/>
              <w:left w:w="55" w:type="dxa"/>
              <w:bottom w:w="55" w:type="dxa"/>
              <w:right w:w="55" w:type="dxa"/>
            </w:tcMar>
            <w:vAlign w:val="center"/>
          </w:tcPr>
          <w:p w14:paraId="5C40CF26" w14:textId="77777777" w:rsidR="00F35D79" w:rsidRPr="00231215" w:rsidRDefault="00B67096">
            <w:pPr>
              <w:spacing w:after="0"/>
              <w:rPr>
                <w:rFonts w:ascii="Poppins" w:hAnsi="Poppins" w:cs="Poppins"/>
                <w:sz w:val="22"/>
              </w:rPr>
            </w:pPr>
            <w:r w:rsidRPr="00231215">
              <w:rPr>
                <w:rFonts w:ascii="Poppins" w:hAnsi="Poppins" w:cs="Poppins"/>
                <w:sz w:val="22"/>
              </w:rPr>
              <w:t>Use retrieval, map reading, discussion, observations and composite outcomes to identify insecure knowledge. Apply the separate year-group expectations and revisit misconceptions before adding demand.</w:t>
            </w:r>
          </w:p>
        </w:tc>
      </w:tr>
      <w:tr w:rsidR="00F35D79" w:rsidRPr="00231215" w14:paraId="31DD98C5" w14:textId="77777777">
        <w:trPr>
          <w:cantSplit/>
        </w:trPr>
        <w:tc>
          <w:tcPr>
            <w:tcW w:w="1613" w:type="dxa"/>
            <w:shd w:val="clear" w:color="auto" w:fill="E9EEF2"/>
            <w:tcMar>
              <w:top w:w="55" w:type="dxa"/>
              <w:left w:w="55" w:type="dxa"/>
              <w:bottom w:w="55" w:type="dxa"/>
              <w:right w:w="55" w:type="dxa"/>
            </w:tcMar>
            <w:vAlign w:val="center"/>
          </w:tcPr>
          <w:p w14:paraId="6A001433" w14:textId="77777777" w:rsidR="00F35D79" w:rsidRPr="00231215" w:rsidRDefault="00B67096">
            <w:pPr>
              <w:spacing w:after="0"/>
              <w:rPr>
                <w:rFonts w:ascii="Poppins" w:hAnsi="Poppins" w:cs="Poppins"/>
                <w:sz w:val="22"/>
              </w:rPr>
            </w:pPr>
            <w:r w:rsidRPr="00231215">
              <w:rPr>
                <w:rFonts w:ascii="Poppins" w:hAnsi="Poppins" w:cs="Poppins"/>
                <w:b/>
                <w:sz w:val="22"/>
              </w:rPr>
              <w:t>Vocabulary</w:t>
            </w:r>
          </w:p>
        </w:tc>
        <w:tc>
          <w:tcPr>
            <w:tcW w:w="8853" w:type="dxa"/>
            <w:tcMar>
              <w:top w:w="55" w:type="dxa"/>
              <w:left w:w="55" w:type="dxa"/>
              <w:bottom w:w="55" w:type="dxa"/>
              <w:right w:w="55" w:type="dxa"/>
            </w:tcMar>
            <w:vAlign w:val="center"/>
          </w:tcPr>
          <w:p w14:paraId="2013C79D" w14:textId="77777777" w:rsidR="00F35D79" w:rsidRPr="00231215" w:rsidRDefault="00B67096">
            <w:pPr>
              <w:spacing w:after="0"/>
              <w:rPr>
                <w:rFonts w:ascii="Poppins" w:hAnsi="Poppins" w:cs="Poppins"/>
                <w:sz w:val="22"/>
              </w:rPr>
            </w:pPr>
            <w:r w:rsidRPr="00231215">
              <w:rPr>
                <w:rFonts w:ascii="Poppins" w:hAnsi="Poppins" w:cs="Poppins"/>
                <w:sz w:val="22"/>
              </w:rPr>
              <w:t>Explicitly teach and apply location, settlement, land use, weather, climate, biome, ecosystem, erosion, transport, deposition and sustainability, alongside each unit’s precise vocabulary.</w:t>
            </w:r>
          </w:p>
        </w:tc>
      </w:tr>
      <w:tr w:rsidR="00F35D79" w:rsidRPr="00231215" w14:paraId="5E64B345" w14:textId="77777777">
        <w:trPr>
          <w:cantSplit/>
        </w:trPr>
        <w:tc>
          <w:tcPr>
            <w:tcW w:w="1613" w:type="dxa"/>
            <w:shd w:val="clear" w:color="auto" w:fill="E9EEF2"/>
            <w:tcMar>
              <w:top w:w="55" w:type="dxa"/>
              <w:left w:w="55" w:type="dxa"/>
              <w:bottom w:w="55" w:type="dxa"/>
              <w:right w:w="55" w:type="dxa"/>
            </w:tcMar>
            <w:vAlign w:val="center"/>
          </w:tcPr>
          <w:p w14:paraId="1D3A8307" w14:textId="77777777" w:rsidR="00F35D79" w:rsidRPr="00231215" w:rsidRDefault="00B67096">
            <w:pPr>
              <w:spacing w:after="0"/>
              <w:rPr>
                <w:rFonts w:ascii="Poppins" w:hAnsi="Poppins" w:cs="Poppins"/>
                <w:sz w:val="22"/>
              </w:rPr>
            </w:pPr>
            <w:r w:rsidRPr="00231215">
              <w:rPr>
                <w:rFonts w:ascii="Poppins" w:hAnsi="Poppins" w:cs="Poppins"/>
                <w:b/>
                <w:sz w:val="22"/>
              </w:rPr>
              <w:t>Adaptive Teaching</w:t>
            </w:r>
          </w:p>
        </w:tc>
        <w:tc>
          <w:tcPr>
            <w:tcW w:w="8853" w:type="dxa"/>
            <w:tcMar>
              <w:top w:w="55" w:type="dxa"/>
              <w:left w:w="55" w:type="dxa"/>
              <w:bottom w:w="55" w:type="dxa"/>
              <w:right w:w="55" w:type="dxa"/>
            </w:tcMar>
            <w:vAlign w:val="center"/>
          </w:tcPr>
          <w:p w14:paraId="68C165A1" w14:textId="77777777" w:rsidR="00F35D79" w:rsidRPr="00231215" w:rsidRDefault="00B67096">
            <w:pPr>
              <w:spacing w:after="0"/>
              <w:rPr>
                <w:rFonts w:ascii="Poppins" w:hAnsi="Poppins" w:cs="Poppins"/>
                <w:sz w:val="22"/>
              </w:rPr>
            </w:pPr>
            <w:r w:rsidRPr="00231215">
              <w:rPr>
                <w:rFonts w:ascii="Poppins" w:hAnsi="Poppins" w:cs="Poppins"/>
                <w:sz w:val="22"/>
              </w:rPr>
              <w:t>Adapt map complexity, source presentation, equipment, prompts and recording while retaining the enquiry and essential knowledge. Accept spoken, drawn and practical evidence; increase independence as scaffolds are withdrawn.</w:t>
            </w:r>
          </w:p>
        </w:tc>
      </w:tr>
      <w:tr w:rsidR="00F35D79" w:rsidRPr="00231215" w14:paraId="57D369BC" w14:textId="77777777">
        <w:trPr>
          <w:cantSplit/>
        </w:trPr>
        <w:tc>
          <w:tcPr>
            <w:tcW w:w="1613" w:type="dxa"/>
            <w:shd w:val="clear" w:color="auto" w:fill="E9EEF2"/>
            <w:tcMar>
              <w:top w:w="55" w:type="dxa"/>
              <w:left w:w="55" w:type="dxa"/>
              <w:bottom w:w="55" w:type="dxa"/>
              <w:right w:w="55" w:type="dxa"/>
            </w:tcMar>
            <w:vAlign w:val="center"/>
          </w:tcPr>
          <w:p w14:paraId="583E397A" w14:textId="77777777" w:rsidR="00F35D79" w:rsidRPr="00231215" w:rsidRDefault="00B67096">
            <w:pPr>
              <w:spacing w:after="0"/>
              <w:rPr>
                <w:rFonts w:ascii="Poppins" w:hAnsi="Poppins" w:cs="Poppins"/>
                <w:sz w:val="22"/>
              </w:rPr>
            </w:pPr>
            <w:r w:rsidRPr="00231215">
              <w:rPr>
                <w:rFonts w:ascii="Poppins" w:hAnsi="Poppins" w:cs="Poppins"/>
                <w:b/>
                <w:sz w:val="22"/>
              </w:rPr>
              <w:t>Resources and Enrichment</w:t>
            </w:r>
          </w:p>
        </w:tc>
        <w:tc>
          <w:tcPr>
            <w:tcW w:w="8853" w:type="dxa"/>
            <w:tcMar>
              <w:top w:w="55" w:type="dxa"/>
              <w:left w:w="55" w:type="dxa"/>
              <w:bottom w:w="55" w:type="dxa"/>
              <w:right w:w="55" w:type="dxa"/>
            </w:tcMar>
            <w:vAlign w:val="center"/>
          </w:tcPr>
          <w:p w14:paraId="662FEE3C" w14:textId="77777777" w:rsidR="00F35D79" w:rsidRPr="00231215" w:rsidRDefault="00B67096">
            <w:pPr>
              <w:spacing w:after="0"/>
              <w:rPr>
                <w:rFonts w:ascii="Poppins" w:hAnsi="Poppins" w:cs="Poppins"/>
                <w:sz w:val="22"/>
              </w:rPr>
            </w:pPr>
            <w:r w:rsidRPr="00231215">
              <w:rPr>
                <w:rFonts w:ascii="Poppins" w:hAnsi="Poppins" w:cs="Poppins"/>
                <w:sz w:val="22"/>
              </w:rPr>
              <w:t>Use agreed MTPs and aligned Grammarsaurus resources, atlases, globes, aerial photographs, OS maps, instruments and matched data. School grounds, Malvern landscapes and the Severn provide purposeful local observation and fieldwork contexts.</w:t>
            </w:r>
          </w:p>
        </w:tc>
      </w:tr>
    </w:tbl>
    <w:p w14:paraId="648C2763" w14:textId="77777777" w:rsidR="00F35D79" w:rsidRPr="00231215" w:rsidRDefault="00B67096">
      <w:pPr>
        <w:pStyle w:val="Heading1"/>
        <w:rPr>
          <w:rFonts w:ascii="Poppins" w:hAnsi="Poppins" w:cs="Poppins"/>
          <w:sz w:val="22"/>
          <w:szCs w:val="22"/>
        </w:rPr>
      </w:pPr>
      <w:r w:rsidRPr="00231215">
        <w:rPr>
          <w:rFonts w:ascii="Poppins" w:hAnsi="Poppins" w:cs="Poppins"/>
          <w:sz w:val="22"/>
          <w:szCs w:val="22"/>
        </w:rPr>
        <w:t>Impact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8853"/>
      </w:tblGrid>
      <w:tr w:rsidR="00F35D79" w:rsidRPr="00231215" w14:paraId="5B8EC138" w14:textId="77777777">
        <w:trPr>
          <w:cantSplit/>
        </w:trPr>
        <w:tc>
          <w:tcPr>
            <w:tcW w:w="1613" w:type="dxa"/>
            <w:shd w:val="clear" w:color="auto" w:fill="E9EEF2"/>
            <w:tcMar>
              <w:top w:w="55" w:type="dxa"/>
              <w:left w:w="55" w:type="dxa"/>
              <w:bottom w:w="55" w:type="dxa"/>
              <w:right w:w="55" w:type="dxa"/>
            </w:tcMar>
            <w:vAlign w:val="center"/>
          </w:tcPr>
          <w:p w14:paraId="6FCFF5DA" w14:textId="77777777" w:rsidR="00F35D79" w:rsidRPr="00231215" w:rsidRDefault="00B67096">
            <w:pPr>
              <w:spacing w:after="0"/>
              <w:rPr>
                <w:rFonts w:ascii="Poppins" w:hAnsi="Poppins" w:cs="Poppins"/>
                <w:sz w:val="22"/>
              </w:rPr>
            </w:pPr>
            <w:r w:rsidRPr="00231215">
              <w:rPr>
                <w:rFonts w:ascii="Poppins" w:hAnsi="Poppins" w:cs="Poppins"/>
                <w:b/>
                <w:sz w:val="22"/>
              </w:rPr>
              <w:t>Assessment</w:t>
            </w:r>
          </w:p>
        </w:tc>
        <w:tc>
          <w:tcPr>
            <w:tcW w:w="8853" w:type="dxa"/>
            <w:tcMar>
              <w:top w:w="55" w:type="dxa"/>
              <w:left w:w="55" w:type="dxa"/>
              <w:bottom w:w="55" w:type="dxa"/>
              <w:right w:w="55" w:type="dxa"/>
            </w:tcMar>
            <w:vAlign w:val="center"/>
          </w:tcPr>
          <w:p w14:paraId="181793D3" w14:textId="77777777" w:rsidR="00F35D79" w:rsidRPr="00231215" w:rsidRDefault="00B67096">
            <w:pPr>
              <w:spacing w:after="0"/>
              <w:rPr>
                <w:rFonts w:ascii="Poppins" w:hAnsi="Poppins" w:cs="Poppins"/>
                <w:sz w:val="22"/>
              </w:rPr>
            </w:pPr>
            <w:r w:rsidRPr="00231215">
              <w:rPr>
                <w:rFonts w:ascii="Poppins" w:hAnsi="Poppins" w:cs="Poppins"/>
                <w:sz w:val="22"/>
              </w:rPr>
              <w:t>Check whether pupils recall geographical knowledge and use it to explain a new example. Conclusions must match the available evidence; a completed worksheet alone does not establish understanding.</w:t>
            </w:r>
          </w:p>
        </w:tc>
      </w:tr>
      <w:tr w:rsidR="00F35D79" w:rsidRPr="00231215" w14:paraId="26FD7725" w14:textId="77777777">
        <w:trPr>
          <w:cantSplit/>
        </w:trPr>
        <w:tc>
          <w:tcPr>
            <w:tcW w:w="1613" w:type="dxa"/>
            <w:shd w:val="clear" w:color="auto" w:fill="E9EEF2"/>
            <w:tcMar>
              <w:top w:w="55" w:type="dxa"/>
              <w:left w:w="55" w:type="dxa"/>
              <w:bottom w:w="55" w:type="dxa"/>
              <w:right w:w="55" w:type="dxa"/>
            </w:tcMar>
            <w:vAlign w:val="center"/>
          </w:tcPr>
          <w:p w14:paraId="0E976AB2" w14:textId="77777777" w:rsidR="00F35D79" w:rsidRPr="00231215" w:rsidRDefault="00B67096">
            <w:pPr>
              <w:spacing w:after="0"/>
              <w:rPr>
                <w:rFonts w:ascii="Poppins" w:hAnsi="Poppins" w:cs="Poppins"/>
                <w:sz w:val="22"/>
              </w:rPr>
            </w:pPr>
            <w:r w:rsidRPr="00231215">
              <w:rPr>
                <w:rFonts w:ascii="Poppins" w:hAnsi="Poppins" w:cs="Poppins"/>
                <w:b/>
                <w:sz w:val="22"/>
              </w:rPr>
              <w:t>Evidencing Progress</w:t>
            </w:r>
          </w:p>
        </w:tc>
        <w:tc>
          <w:tcPr>
            <w:tcW w:w="8853" w:type="dxa"/>
            <w:tcMar>
              <w:top w:w="55" w:type="dxa"/>
              <w:left w:w="55" w:type="dxa"/>
              <w:bottom w:w="55" w:type="dxa"/>
              <w:right w:w="55" w:type="dxa"/>
            </w:tcMar>
            <w:vAlign w:val="center"/>
          </w:tcPr>
          <w:p w14:paraId="61E4F0F9" w14:textId="77777777" w:rsidR="00F35D79" w:rsidRPr="00231215" w:rsidRDefault="00B67096">
            <w:pPr>
              <w:spacing w:after="0"/>
              <w:rPr>
                <w:rFonts w:ascii="Poppins" w:hAnsi="Poppins" w:cs="Poppins"/>
                <w:sz w:val="22"/>
              </w:rPr>
            </w:pPr>
            <w:r w:rsidRPr="00231215">
              <w:rPr>
                <w:rFonts w:ascii="Poppins" w:hAnsi="Poppins" w:cs="Poppins"/>
                <w:sz w:val="22"/>
              </w:rPr>
              <w:t>Maps, located observations, field sketches, tables, graphs and explanations show progression from naming and describing to explaining relationships, comparing evidence and evaluating limitations.</w:t>
            </w:r>
          </w:p>
        </w:tc>
      </w:tr>
      <w:tr w:rsidR="00F35D79" w:rsidRPr="00231215" w14:paraId="7A13FD25" w14:textId="77777777">
        <w:trPr>
          <w:cantSplit/>
        </w:trPr>
        <w:tc>
          <w:tcPr>
            <w:tcW w:w="1613" w:type="dxa"/>
            <w:shd w:val="clear" w:color="auto" w:fill="E9EEF2"/>
            <w:tcMar>
              <w:top w:w="55" w:type="dxa"/>
              <w:left w:w="55" w:type="dxa"/>
              <w:bottom w:w="55" w:type="dxa"/>
              <w:right w:w="55" w:type="dxa"/>
            </w:tcMar>
            <w:vAlign w:val="center"/>
          </w:tcPr>
          <w:p w14:paraId="64D0957D" w14:textId="77777777" w:rsidR="00F35D79" w:rsidRPr="00231215" w:rsidRDefault="00B67096">
            <w:pPr>
              <w:spacing w:after="0"/>
              <w:rPr>
                <w:rFonts w:ascii="Poppins" w:hAnsi="Poppins" w:cs="Poppins"/>
                <w:sz w:val="22"/>
              </w:rPr>
            </w:pPr>
            <w:r w:rsidRPr="00231215">
              <w:rPr>
                <w:rFonts w:ascii="Poppins" w:hAnsi="Poppins" w:cs="Poppins"/>
                <w:b/>
                <w:sz w:val="22"/>
              </w:rPr>
              <w:t>Pupil Voice</w:t>
            </w:r>
          </w:p>
        </w:tc>
        <w:tc>
          <w:tcPr>
            <w:tcW w:w="8853" w:type="dxa"/>
            <w:tcMar>
              <w:top w:w="55" w:type="dxa"/>
              <w:left w:w="55" w:type="dxa"/>
              <w:bottom w:w="55" w:type="dxa"/>
              <w:right w:w="55" w:type="dxa"/>
            </w:tcMar>
            <w:vAlign w:val="center"/>
          </w:tcPr>
          <w:p w14:paraId="3103CE74" w14:textId="77777777" w:rsidR="00F35D79" w:rsidRPr="00231215" w:rsidRDefault="00B67096">
            <w:pPr>
              <w:spacing w:after="0"/>
              <w:rPr>
                <w:rFonts w:ascii="Poppins" w:hAnsi="Poppins" w:cs="Poppins"/>
                <w:sz w:val="22"/>
              </w:rPr>
            </w:pPr>
            <w:r w:rsidRPr="00231215">
              <w:rPr>
                <w:rFonts w:ascii="Poppins" w:hAnsi="Poppins" w:cs="Poppins"/>
                <w:sz w:val="22"/>
              </w:rPr>
              <w:t>Pupils explain where a studied place is, what shapes its character, how it connects with people and environments, and which evidence supports their conclusion.</w:t>
            </w:r>
          </w:p>
        </w:tc>
      </w:tr>
      <w:tr w:rsidR="00F35D79" w:rsidRPr="00231215" w14:paraId="679F9535" w14:textId="77777777">
        <w:trPr>
          <w:cantSplit/>
        </w:trPr>
        <w:tc>
          <w:tcPr>
            <w:tcW w:w="1613" w:type="dxa"/>
            <w:shd w:val="clear" w:color="auto" w:fill="E9EEF2"/>
            <w:tcMar>
              <w:top w:w="55" w:type="dxa"/>
              <w:left w:w="55" w:type="dxa"/>
              <w:bottom w:w="55" w:type="dxa"/>
              <w:right w:w="55" w:type="dxa"/>
            </w:tcMar>
            <w:vAlign w:val="center"/>
          </w:tcPr>
          <w:p w14:paraId="6BE37FCE" w14:textId="77777777" w:rsidR="00F35D79" w:rsidRPr="00231215" w:rsidRDefault="00B67096">
            <w:pPr>
              <w:spacing w:after="0"/>
              <w:rPr>
                <w:rFonts w:ascii="Poppins" w:hAnsi="Poppins" w:cs="Poppins"/>
                <w:sz w:val="22"/>
              </w:rPr>
            </w:pPr>
            <w:r w:rsidRPr="00231215">
              <w:rPr>
                <w:rFonts w:ascii="Poppins" w:hAnsi="Poppins" w:cs="Poppins"/>
                <w:b/>
                <w:sz w:val="22"/>
              </w:rPr>
              <w:t>Monitoring and Evaluation</w:t>
            </w:r>
          </w:p>
        </w:tc>
        <w:tc>
          <w:tcPr>
            <w:tcW w:w="8853" w:type="dxa"/>
            <w:tcMar>
              <w:top w:w="55" w:type="dxa"/>
              <w:left w:w="55" w:type="dxa"/>
              <w:bottom w:w="55" w:type="dxa"/>
              <w:right w:w="55" w:type="dxa"/>
            </w:tcMar>
            <w:vAlign w:val="center"/>
          </w:tcPr>
          <w:p w14:paraId="11AAFC59" w14:textId="77777777" w:rsidR="00F35D79" w:rsidRPr="00231215" w:rsidRDefault="00B67096">
            <w:pPr>
              <w:spacing w:after="0"/>
              <w:rPr>
                <w:rFonts w:ascii="Poppins" w:hAnsi="Poppins" w:cs="Poppins"/>
                <w:sz w:val="22"/>
              </w:rPr>
            </w:pPr>
            <w:r w:rsidRPr="00231215">
              <w:rPr>
                <w:rFonts w:ascii="Poppins" w:hAnsi="Poppins" w:cs="Poppins"/>
                <w:sz w:val="22"/>
              </w:rPr>
              <w:t>Subject leaders review MTP fidelity, fieldwork, work samples, pupil discussion and year-group outcomes. Check that recurring knowledge becomes more secure and either-cycle entry remains accessible.</w:t>
            </w:r>
          </w:p>
        </w:tc>
      </w:tr>
    </w:tbl>
    <w:p w14:paraId="702BF8E7" w14:textId="77777777" w:rsidR="00B67096" w:rsidRPr="00231215" w:rsidRDefault="00B67096">
      <w:pPr>
        <w:rPr>
          <w:rFonts w:ascii="Poppins" w:hAnsi="Poppins" w:cs="Poppins"/>
          <w:sz w:val="22"/>
        </w:rPr>
      </w:pPr>
    </w:p>
    <w:sectPr w:rsidR="00B67096" w:rsidRPr="00231215" w:rsidSect="00034616">
      <w:pgSz w:w="11906" w:h="16838"/>
      <w:pgMar w:top="605" w:right="720" w:bottom="605"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D4A75EE"/>
    <w:multiLevelType w:val="hybridMultilevel"/>
    <w:tmpl w:val="09EA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4878612">
    <w:abstractNumId w:val="8"/>
  </w:num>
  <w:num w:numId="2" w16cid:durableId="1007512558">
    <w:abstractNumId w:val="6"/>
  </w:num>
  <w:num w:numId="3" w16cid:durableId="1639728021">
    <w:abstractNumId w:val="5"/>
  </w:num>
  <w:num w:numId="4" w16cid:durableId="688068900">
    <w:abstractNumId w:val="4"/>
  </w:num>
  <w:num w:numId="5" w16cid:durableId="1525553566">
    <w:abstractNumId w:val="7"/>
  </w:num>
  <w:num w:numId="6" w16cid:durableId="1761633207">
    <w:abstractNumId w:val="3"/>
  </w:num>
  <w:num w:numId="7" w16cid:durableId="1997150286">
    <w:abstractNumId w:val="2"/>
  </w:num>
  <w:num w:numId="8" w16cid:durableId="1621834923">
    <w:abstractNumId w:val="1"/>
  </w:num>
  <w:num w:numId="9" w16cid:durableId="97531844">
    <w:abstractNumId w:val="0"/>
  </w:num>
  <w:num w:numId="10" w16cid:durableId="6399628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1215"/>
    <w:rsid w:val="00272346"/>
    <w:rsid w:val="0029639D"/>
    <w:rsid w:val="00326F90"/>
    <w:rsid w:val="00AA1D8D"/>
    <w:rsid w:val="00B47730"/>
    <w:rsid w:val="00B67096"/>
    <w:rsid w:val="00CB0664"/>
    <w:rsid w:val="00F35D7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E5C85F"/>
  <w14:defaultImageDpi w14:val="300"/>
  <w15:docId w15:val="{2588CCD0-890D-4D31-85FE-DDD2D57D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uto"/>
    </w:pPr>
    <w:rPr>
      <w:rFonts w:ascii="Arial" w:hAnsi="Arial"/>
      <w:color w:val="000000"/>
      <w:sz w:val="16"/>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sz w:val="1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contextualSpacing/>
    </w:pPr>
    <w:rPr>
      <w:rFonts w:asciiTheme="majorHAnsi" w:eastAsiaTheme="majorEastAsia" w:hAnsiTheme="majorHAnsi" w:cstheme="majorBidi"/>
      <w:b/>
      <w:spacing w:val="5"/>
      <w:kern w:val="28"/>
      <w:sz w:val="2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 Alford</cp:lastModifiedBy>
  <cp:revision>2</cp:revision>
  <dcterms:created xsi:type="dcterms:W3CDTF">2026-10-13T10:24:00Z</dcterms:created>
  <dcterms:modified xsi:type="dcterms:W3CDTF">2026-10-13T10:24:00Z</dcterms:modified>
  <cp:category/>
</cp:coreProperties>
</file>