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7F2356" w14:textId="5F53BFEB" w:rsidR="00290C37" w:rsidRPr="00C82E57" w:rsidRDefault="00C82E57">
      <w:pPr>
        <w:pStyle w:val="Title"/>
        <w:rPr>
          <w:rFonts w:ascii="Poppins" w:hAnsi="Poppins" w:cs="Poppins"/>
        </w:rPr>
      </w:pPr>
      <w:r>
        <w:rPr>
          <w:rFonts w:ascii="Poppins" w:hAnsi="Poppins" w:cs="Poppins"/>
          <w:noProof/>
        </w:rPr>
        <w:drawing>
          <wp:anchor distT="0" distB="0" distL="114300" distR="114300" simplePos="0" relativeHeight="251657216" behindDoc="0" locked="0" layoutInCell="1" allowOverlap="1" wp14:anchorId="3D021079" wp14:editId="6667BF77">
            <wp:simplePos x="0" y="0"/>
            <wp:positionH relativeFrom="column">
              <wp:posOffset>5684520</wp:posOffset>
            </wp:positionH>
            <wp:positionV relativeFrom="paragraph">
              <wp:posOffset>-277495</wp:posOffset>
            </wp:positionV>
            <wp:extent cx="876300" cy="876300"/>
            <wp:effectExtent l="0" t="0" r="0" b="0"/>
            <wp:wrapNone/>
            <wp:docPr id="7207755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775556" name="Picture 720775556"/>
                    <pic:cNvPicPr/>
                  </pic:nvPicPr>
                  <pic:blipFill>
                    <a:blip r:embed="rId6"/>
                    <a:stretch>
                      <a:fillRect/>
                    </a:stretch>
                  </pic:blipFill>
                  <pic:spPr>
                    <a:xfrm>
                      <a:off x="0" y="0"/>
                      <a:ext cx="876300" cy="876300"/>
                    </a:xfrm>
                    <a:prstGeom prst="rect">
                      <a:avLst/>
                    </a:prstGeom>
                  </pic:spPr>
                </pic:pic>
              </a:graphicData>
            </a:graphic>
            <wp14:sizeRelH relativeFrom="page">
              <wp14:pctWidth>0</wp14:pctWidth>
            </wp14:sizeRelH>
            <wp14:sizeRelV relativeFrom="page">
              <wp14:pctHeight>0</wp14:pctHeight>
            </wp14:sizeRelV>
          </wp:anchor>
        </w:drawing>
      </w:r>
      <w:r w:rsidR="005C0DF6" w:rsidRPr="00C82E57">
        <w:rPr>
          <w:rFonts w:ascii="Poppins" w:hAnsi="Poppins" w:cs="Poppins"/>
        </w:rPr>
        <w:t>Art and Design at Malvern Wells</w:t>
      </w:r>
    </w:p>
    <w:p w14:paraId="7B7B902D" w14:textId="50C637B3" w:rsidR="00290C37" w:rsidRPr="00C82E57" w:rsidRDefault="005C0DF6">
      <w:pPr>
        <w:pStyle w:val="Heading1"/>
        <w:rPr>
          <w:rFonts w:ascii="Poppins" w:hAnsi="Poppins" w:cs="Poppins"/>
        </w:rPr>
      </w:pPr>
      <w:r w:rsidRPr="00C82E57">
        <w:rPr>
          <w:rFonts w:ascii="Poppins" w:hAnsi="Poppins" w:cs="Poppins"/>
        </w:rPr>
        <w:t>Intent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290C37" w:rsidRPr="00C82E57" w14:paraId="0CEF17B4" w14:textId="77777777">
        <w:trPr>
          <w:cantSplit/>
        </w:trPr>
        <w:tc>
          <w:tcPr>
            <w:tcW w:w="1613" w:type="dxa"/>
            <w:shd w:val="clear" w:color="auto" w:fill="E9EEF2"/>
            <w:tcMar>
              <w:top w:w="55" w:type="dxa"/>
              <w:left w:w="55" w:type="dxa"/>
              <w:bottom w:w="55" w:type="dxa"/>
              <w:right w:w="55" w:type="dxa"/>
            </w:tcMar>
            <w:vAlign w:val="center"/>
          </w:tcPr>
          <w:p w14:paraId="4E570AF4" w14:textId="5DD0E4F2" w:rsidR="00290C37" w:rsidRPr="00C82E57" w:rsidRDefault="005C0DF6">
            <w:pPr>
              <w:spacing w:after="0"/>
              <w:rPr>
                <w:rFonts w:ascii="Poppins" w:hAnsi="Poppins" w:cs="Poppins"/>
              </w:rPr>
            </w:pPr>
            <w:r w:rsidRPr="00C82E57">
              <w:rPr>
                <w:rFonts w:ascii="Poppins" w:hAnsi="Poppins" w:cs="Poppins"/>
                <w:b/>
              </w:rPr>
              <w:t>Subject Aim</w:t>
            </w:r>
          </w:p>
        </w:tc>
        <w:tc>
          <w:tcPr>
            <w:tcW w:w="8853" w:type="dxa"/>
            <w:tcMar>
              <w:top w:w="55" w:type="dxa"/>
              <w:left w:w="55" w:type="dxa"/>
              <w:bottom w:w="55" w:type="dxa"/>
              <w:right w:w="55" w:type="dxa"/>
            </w:tcMar>
            <w:vAlign w:val="center"/>
          </w:tcPr>
          <w:p w14:paraId="7C4C0F2C" w14:textId="3E5D68F5" w:rsidR="00290C37" w:rsidRPr="00C82E57" w:rsidRDefault="005C0DF6">
            <w:pPr>
              <w:spacing w:after="0"/>
              <w:rPr>
                <w:rFonts w:ascii="Poppins" w:hAnsi="Poppins" w:cs="Poppins"/>
              </w:rPr>
            </w:pPr>
            <w:r w:rsidRPr="00C82E57">
              <w:rPr>
                <w:rFonts w:ascii="Poppins" w:hAnsi="Poppins" w:cs="Poppins"/>
              </w:rPr>
              <w:t>At Malvern Wells CE Primary School, art enables every child to Let Their Light Shine through observation, imagination and personal expression. Pupils develop technical control, learn from artists and craft makers, and explain deliberate choices through their own creative work.</w:t>
            </w:r>
          </w:p>
        </w:tc>
      </w:tr>
      <w:tr w:rsidR="00290C37" w:rsidRPr="00C82E57" w14:paraId="537B192E" w14:textId="77777777">
        <w:trPr>
          <w:cantSplit/>
        </w:trPr>
        <w:tc>
          <w:tcPr>
            <w:tcW w:w="1613" w:type="dxa"/>
            <w:shd w:val="clear" w:color="auto" w:fill="E9EEF2"/>
            <w:tcMar>
              <w:top w:w="55" w:type="dxa"/>
              <w:left w:w="55" w:type="dxa"/>
              <w:bottom w:w="55" w:type="dxa"/>
              <w:right w:w="55" w:type="dxa"/>
            </w:tcMar>
            <w:vAlign w:val="center"/>
          </w:tcPr>
          <w:p w14:paraId="4B6D0CA9" w14:textId="77777777" w:rsidR="00290C37" w:rsidRPr="00C82E57" w:rsidRDefault="005C0DF6">
            <w:pPr>
              <w:spacing w:after="0"/>
              <w:rPr>
                <w:rFonts w:ascii="Poppins" w:hAnsi="Poppins" w:cs="Poppins"/>
              </w:rPr>
            </w:pPr>
            <w:r w:rsidRPr="00C82E57">
              <w:rPr>
                <w:rFonts w:ascii="Poppins" w:hAnsi="Poppins" w:cs="Poppins"/>
                <w:b/>
              </w:rPr>
              <w:t>Curriculum Design</w:t>
            </w:r>
          </w:p>
        </w:tc>
        <w:tc>
          <w:tcPr>
            <w:tcW w:w="8853" w:type="dxa"/>
            <w:tcMar>
              <w:top w:w="55" w:type="dxa"/>
              <w:left w:w="55" w:type="dxa"/>
              <w:bottom w:w="55" w:type="dxa"/>
              <w:right w:w="55" w:type="dxa"/>
            </w:tcMar>
            <w:vAlign w:val="center"/>
          </w:tcPr>
          <w:p w14:paraId="4C5F0715" w14:textId="77777777" w:rsidR="00C82E57" w:rsidRDefault="005C0DF6">
            <w:pPr>
              <w:spacing w:after="0"/>
              <w:rPr>
                <w:rFonts w:ascii="Poppins" w:hAnsi="Poppins" w:cs="Poppins"/>
              </w:rPr>
            </w:pPr>
            <w:r w:rsidRPr="00C82E57">
              <w:rPr>
                <w:rFonts w:ascii="Poppins" w:hAnsi="Poppins" w:cs="Poppins"/>
              </w:rPr>
              <w:t xml:space="preserve">The mixed-age two-year curriculum builds three composites in each unit. </w:t>
            </w:r>
          </w:p>
          <w:p w14:paraId="2698BA64" w14:textId="77777777" w:rsidR="00C82E57" w:rsidRDefault="005C0DF6">
            <w:pPr>
              <w:spacing w:after="0"/>
              <w:rPr>
                <w:rFonts w:ascii="Poppins" w:hAnsi="Poppins" w:cs="Poppins"/>
              </w:rPr>
            </w:pPr>
            <w:r w:rsidRPr="00C82E57">
              <w:rPr>
                <w:rFonts w:ascii="Poppins" w:hAnsi="Poppins" w:cs="Poppins"/>
              </w:rPr>
              <w:t xml:space="preserve">KS1 develops line, shape, pattern, colour mixing, collage and clay shaping or relief. </w:t>
            </w:r>
          </w:p>
          <w:p w14:paraId="66BDBE81" w14:textId="77777777" w:rsidR="00C82E57" w:rsidRDefault="005C0DF6">
            <w:pPr>
              <w:spacing w:after="0"/>
              <w:rPr>
                <w:rFonts w:ascii="Poppins" w:hAnsi="Poppins" w:cs="Poppins"/>
              </w:rPr>
            </w:pPr>
            <w:r w:rsidRPr="00C82E57">
              <w:rPr>
                <w:rFonts w:ascii="Poppins" w:hAnsi="Poppins" w:cs="Poppins"/>
              </w:rPr>
              <w:t xml:space="preserve">LKS2 deepens observation, value, texture, perspective, watercolour, sketchbook trials, mixed media and secure clay construction. </w:t>
            </w:r>
          </w:p>
          <w:p w14:paraId="5E8B8F4A" w14:textId="77777777" w:rsidR="009973E7" w:rsidRDefault="005C0DF6">
            <w:pPr>
              <w:spacing w:after="0"/>
              <w:rPr>
                <w:rFonts w:ascii="Poppins" w:hAnsi="Poppins" w:cs="Poppins"/>
              </w:rPr>
            </w:pPr>
            <w:r w:rsidRPr="00C82E57">
              <w:rPr>
                <w:rFonts w:ascii="Poppins" w:hAnsi="Poppins" w:cs="Poppins"/>
              </w:rPr>
              <w:t>UKS2 develops drawing style, facial proportion and form, portrait and environmental intentions, colour relationships and supported sculpture. Each cycle teaches its new techniques explicitly.</w:t>
            </w:r>
          </w:p>
          <w:p w14:paraId="318B990B" w14:textId="0772BE7E" w:rsidR="009973E7" w:rsidRPr="00C82E57" w:rsidRDefault="009973E7">
            <w:pPr>
              <w:spacing w:after="0"/>
              <w:rPr>
                <w:rFonts w:ascii="Poppins" w:hAnsi="Poppins" w:cs="Poppins"/>
              </w:rPr>
            </w:pPr>
            <w:r>
              <w:rPr>
                <w:noProof/>
              </w:rPr>
              <w:drawing>
                <wp:inline distT="0" distB="0" distL="0" distR="0" wp14:anchorId="4F3BF34D" wp14:editId="49F1C0D7">
                  <wp:extent cx="5551805" cy="3694430"/>
                  <wp:effectExtent l="0" t="0" r="0" b="1270"/>
                  <wp:docPr id="1254080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080840" name=""/>
                          <pic:cNvPicPr/>
                        </pic:nvPicPr>
                        <pic:blipFill>
                          <a:blip r:embed="rId7"/>
                          <a:stretch>
                            <a:fillRect/>
                          </a:stretch>
                        </pic:blipFill>
                        <pic:spPr>
                          <a:xfrm>
                            <a:off x="0" y="0"/>
                            <a:ext cx="5551805" cy="3694430"/>
                          </a:xfrm>
                          <a:prstGeom prst="rect">
                            <a:avLst/>
                          </a:prstGeom>
                        </pic:spPr>
                      </pic:pic>
                    </a:graphicData>
                  </a:graphic>
                </wp:inline>
              </w:drawing>
            </w:r>
          </w:p>
        </w:tc>
      </w:tr>
      <w:tr w:rsidR="00290C37" w:rsidRPr="00C82E57" w14:paraId="1387FF8B" w14:textId="77777777">
        <w:trPr>
          <w:cantSplit/>
        </w:trPr>
        <w:tc>
          <w:tcPr>
            <w:tcW w:w="1613" w:type="dxa"/>
            <w:shd w:val="clear" w:color="auto" w:fill="E9EEF2"/>
            <w:tcMar>
              <w:top w:w="55" w:type="dxa"/>
              <w:left w:w="55" w:type="dxa"/>
              <w:bottom w:w="55" w:type="dxa"/>
              <w:right w:w="55" w:type="dxa"/>
            </w:tcMar>
            <w:vAlign w:val="center"/>
          </w:tcPr>
          <w:p w14:paraId="3481DFEA" w14:textId="77777777" w:rsidR="00290C37" w:rsidRPr="00C82E57" w:rsidRDefault="005C0DF6">
            <w:pPr>
              <w:spacing w:after="0"/>
              <w:rPr>
                <w:rFonts w:ascii="Poppins" w:hAnsi="Poppins" w:cs="Poppins"/>
              </w:rPr>
            </w:pPr>
            <w:r w:rsidRPr="00C82E57">
              <w:rPr>
                <w:rFonts w:ascii="Poppins" w:hAnsi="Poppins" w:cs="Poppins"/>
                <w:b/>
              </w:rPr>
              <w:t>End Points</w:t>
            </w:r>
          </w:p>
        </w:tc>
        <w:tc>
          <w:tcPr>
            <w:tcW w:w="8853" w:type="dxa"/>
            <w:tcMar>
              <w:top w:w="55" w:type="dxa"/>
              <w:left w:w="55" w:type="dxa"/>
              <w:bottom w:w="55" w:type="dxa"/>
              <w:right w:w="55" w:type="dxa"/>
            </w:tcMar>
            <w:vAlign w:val="center"/>
          </w:tcPr>
          <w:p w14:paraId="7577E48E" w14:textId="77777777" w:rsidR="00290C37" w:rsidRPr="00C82E57" w:rsidRDefault="005C0DF6">
            <w:pPr>
              <w:spacing w:after="0"/>
              <w:rPr>
                <w:rFonts w:ascii="Poppins" w:hAnsi="Poppins" w:cs="Poppins"/>
              </w:rPr>
            </w:pPr>
            <w:r w:rsidRPr="00C82E57">
              <w:rPr>
                <w:rFonts w:ascii="Poppins" w:hAnsi="Poppins" w:cs="Poppins"/>
              </w:rPr>
              <w:t>By Year 6, pupils observe and compare carefully, select and control techniques across drawing, painting, collage and sculpture, and use trials to develop personal intentions. They explain artist influence, justify choices through visible evidence and refine specific features.</w:t>
            </w:r>
          </w:p>
        </w:tc>
      </w:tr>
      <w:tr w:rsidR="00290C37" w:rsidRPr="00C82E57" w14:paraId="6E344DE2" w14:textId="77777777">
        <w:trPr>
          <w:cantSplit/>
        </w:trPr>
        <w:tc>
          <w:tcPr>
            <w:tcW w:w="1613" w:type="dxa"/>
            <w:shd w:val="clear" w:color="auto" w:fill="E9EEF2"/>
            <w:tcMar>
              <w:top w:w="55" w:type="dxa"/>
              <w:left w:w="55" w:type="dxa"/>
              <w:bottom w:w="55" w:type="dxa"/>
              <w:right w:w="55" w:type="dxa"/>
            </w:tcMar>
            <w:vAlign w:val="center"/>
          </w:tcPr>
          <w:p w14:paraId="636336F5" w14:textId="77777777" w:rsidR="00290C37" w:rsidRPr="00C82E57" w:rsidRDefault="005C0DF6">
            <w:pPr>
              <w:spacing w:after="0"/>
              <w:rPr>
                <w:rFonts w:ascii="Poppins" w:hAnsi="Poppins" w:cs="Poppins"/>
              </w:rPr>
            </w:pPr>
            <w:r w:rsidRPr="00C82E57">
              <w:rPr>
                <w:rFonts w:ascii="Poppins" w:hAnsi="Poppins" w:cs="Poppins"/>
                <w:b/>
              </w:rPr>
              <w:t>Threshold Concepts</w:t>
            </w:r>
          </w:p>
        </w:tc>
        <w:tc>
          <w:tcPr>
            <w:tcW w:w="8853" w:type="dxa"/>
            <w:tcMar>
              <w:top w:w="55" w:type="dxa"/>
              <w:left w:w="55" w:type="dxa"/>
              <w:bottom w:w="55" w:type="dxa"/>
              <w:right w:w="55" w:type="dxa"/>
            </w:tcMar>
            <w:vAlign w:val="center"/>
          </w:tcPr>
          <w:p w14:paraId="70404F6F" w14:textId="77777777" w:rsidR="00290C37" w:rsidRPr="00C82E57" w:rsidRDefault="005C0DF6">
            <w:pPr>
              <w:spacing w:after="0"/>
              <w:rPr>
                <w:rFonts w:ascii="Poppins" w:hAnsi="Poppins" w:cs="Poppins"/>
              </w:rPr>
            </w:pPr>
            <w:r w:rsidRPr="00C82E57">
              <w:rPr>
                <w:rFonts w:ascii="Poppins" w:hAnsi="Poppins" w:cs="Poppins"/>
              </w:rPr>
              <w:t>Visual elements • Observation and representation • Materials and technique • Artist influence and context • Personal intention • Experimentation and refinement</w:t>
            </w:r>
          </w:p>
        </w:tc>
      </w:tr>
      <w:tr w:rsidR="00290C37" w:rsidRPr="00C82E57" w14:paraId="502AB451" w14:textId="77777777">
        <w:trPr>
          <w:cantSplit/>
        </w:trPr>
        <w:tc>
          <w:tcPr>
            <w:tcW w:w="1613" w:type="dxa"/>
            <w:shd w:val="clear" w:color="auto" w:fill="E9EEF2"/>
            <w:tcMar>
              <w:top w:w="55" w:type="dxa"/>
              <w:left w:w="55" w:type="dxa"/>
              <w:bottom w:w="55" w:type="dxa"/>
              <w:right w:w="55" w:type="dxa"/>
            </w:tcMar>
            <w:vAlign w:val="center"/>
          </w:tcPr>
          <w:p w14:paraId="679CBAFB" w14:textId="77777777" w:rsidR="00290C37" w:rsidRPr="00C82E57" w:rsidRDefault="005C0DF6">
            <w:pPr>
              <w:spacing w:after="0"/>
              <w:rPr>
                <w:rFonts w:ascii="Poppins" w:hAnsi="Poppins" w:cs="Poppins"/>
              </w:rPr>
            </w:pPr>
            <w:r w:rsidRPr="00C82E57">
              <w:rPr>
                <w:rFonts w:ascii="Poppins" w:hAnsi="Poppins" w:cs="Poppins"/>
                <w:b/>
              </w:rPr>
              <w:t>Golden Threads</w:t>
            </w:r>
          </w:p>
        </w:tc>
        <w:tc>
          <w:tcPr>
            <w:tcW w:w="8853" w:type="dxa"/>
            <w:tcMar>
              <w:top w:w="55" w:type="dxa"/>
              <w:left w:w="55" w:type="dxa"/>
              <w:bottom w:w="55" w:type="dxa"/>
              <w:right w:w="55" w:type="dxa"/>
            </w:tcMar>
            <w:vAlign w:val="center"/>
          </w:tcPr>
          <w:p w14:paraId="02BE0DF9" w14:textId="77777777" w:rsidR="00290C37" w:rsidRPr="00C82E57" w:rsidRDefault="005C0DF6">
            <w:pPr>
              <w:spacing w:after="0"/>
              <w:rPr>
                <w:rFonts w:ascii="Poppins" w:hAnsi="Poppins" w:cs="Poppins"/>
              </w:rPr>
            </w:pPr>
            <w:r w:rsidRPr="00C82E57">
              <w:rPr>
                <w:rFonts w:ascii="Poppins" w:hAnsi="Poppins" w:cs="Poppins"/>
              </w:rPr>
              <w:t>Visual elements • Materials and techniques • Artists and contexts • Ideas and creative decisions • Developing and refining • Responding and evaluating</w:t>
            </w:r>
          </w:p>
        </w:tc>
      </w:tr>
    </w:tbl>
    <w:p w14:paraId="11545D60" w14:textId="77777777" w:rsidR="00290C37" w:rsidRPr="00C82E57" w:rsidRDefault="005C0DF6">
      <w:pPr>
        <w:pStyle w:val="Heading1"/>
        <w:rPr>
          <w:rFonts w:ascii="Poppins" w:hAnsi="Poppins" w:cs="Poppins"/>
        </w:rPr>
      </w:pPr>
      <w:r w:rsidRPr="00C82E57">
        <w:rPr>
          <w:rFonts w:ascii="Poppins" w:hAnsi="Poppins" w:cs="Poppins"/>
        </w:rPr>
        <w:t>Implementation</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290C37" w:rsidRPr="00C82E57" w14:paraId="06CCF3D2" w14:textId="77777777">
        <w:trPr>
          <w:cantSplit/>
        </w:trPr>
        <w:tc>
          <w:tcPr>
            <w:tcW w:w="1613" w:type="dxa"/>
            <w:shd w:val="clear" w:color="auto" w:fill="E9EEF2"/>
            <w:tcMar>
              <w:top w:w="55" w:type="dxa"/>
              <w:left w:w="55" w:type="dxa"/>
              <w:bottom w:w="55" w:type="dxa"/>
              <w:right w:w="55" w:type="dxa"/>
            </w:tcMar>
            <w:vAlign w:val="center"/>
          </w:tcPr>
          <w:p w14:paraId="6C8EDD1A" w14:textId="77777777" w:rsidR="00290C37" w:rsidRPr="00C82E57" w:rsidRDefault="005C0DF6">
            <w:pPr>
              <w:spacing w:after="0"/>
              <w:rPr>
                <w:rFonts w:ascii="Poppins" w:hAnsi="Poppins" w:cs="Poppins"/>
              </w:rPr>
            </w:pPr>
            <w:r w:rsidRPr="00C82E57">
              <w:rPr>
                <w:rFonts w:ascii="Poppins" w:hAnsi="Poppins" w:cs="Poppins"/>
                <w:b/>
              </w:rPr>
              <w:t>Timetabling</w:t>
            </w:r>
          </w:p>
        </w:tc>
        <w:tc>
          <w:tcPr>
            <w:tcW w:w="8853" w:type="dxa"/>
            <w:tcMar>
              <w:top w:w="55" w:type="dxa"/>
              <w:left w:w="55" w:type="dxa"/>
              <w:bottom w:w="55" w:type="dxa"/>
              <w:right w:w="55" w:type="dxa"/>
            </w:tcMar>
            <w:vAlign w:val="center"/>
          </w:tcPr>
          <w:p w14:paraId="3FC5153F" w14:textId="77777777" w:rsidR="00290C37" w:rsidRPr="00C82E57" w:rsidRDefault="005C0DF6">
            <w:pPr>
              <w:spacing w:after="0"/>
              <w:rPr>
                <w:rFonts w:ascii="Poppins" w:hAnsi="Poppins" w:cs="Poppins"/>
              </w:rPr>
            </w:pPr>
            <w:r w:rsidRPr="00C82E57">
              <w:rPr>
                <w:rFonts w:ascii="Poppins" w:hAnsi="Poppins" w:cs="Poppins"/>
              </w:rPr>
              <w:t>Teach the agreed drawing, painting and sculpture units in each mixed-age cycle. Allow practice, drying, finishing and evaluation time. Check shared foundations without requiring completion of the opposite cycle.</w:t>
            </w:r>
          </w:p>
        </w:tc>
      </w:tr>
      <w:tr w:rsidR="00290C37" w:rsidRPr="00C82E57" w14:paraId="76D6FC34" w14:textId="77777777">
        <w:trPr>
          <w:cantSplit/>
        </w:trPr>
        <w:tc>
          <w:tcPr>
            <w:tcW w:w="1613" w:type="dxa"/>
            <w:shd w:val="clear" w:color="auto" w:fill="E9EEF2"/>
            <w:tcMar>
              <w:top w:w="55" w:type="dxa"/>
              <w:left w:w="55" w:type="dxa"/>
              <w:bottom w:w="55" w:type="dxa"/>
              <w:right w:w="55" w:type="dxa"/>
            </w:tcMar>
            <w:vAlign w:val="center"/>
          </w:tcPr>
          <w:p w14:paraId="7FB28245" w14:textId="77777777" w:rsidR="00290C37" w:rsidRPr="00C82E57" w:rsidRDefault="005C0DF6">
            <w:pPr>
              <w:spacing w:after="0"/>
              <w:rPr>
                <w:rFonts w:ascii="Poppins" w:hAnsi="Poppins" w:cs="Poppins"/>
              </w:rPr>
            </w:pPr>
            <w:r w:rsidRPr="00C82E57">
              <w:rPr>
                <w:rFonts w:ascii="Poppins" w:hAnsi="Poppins" w:cs="Poppins"/>
                <w:b/>
              </w:rPr>
              <w:t>Lesson Structure</w:t>
            </w:r>
          </w:p>
        </w:tc>
        <w:tc>
          <w:tcPr>
            <w:tcW w:w="8853" w:type="dxa"/>
            <w:tcMar>
              <w:top w:w="55" w:type="dxa"/>
              <w:left w:w="55" w:type="dxa"/>
              <w:bottom w:w="55" w:type="dxa"/>
              <w:right w:w="55" w:type="dxa"/>
            </w:tcMar>
            <w:vAlign w:val="center"/>
          </w:tcPr>
          <w:p w14:paraId="7E3CA01A" w14:textId="77777777" w:rsidR="00290C37" w:rsidRPr="00C82E57" w:rsidRDefault="005C0DF6">
            <w:pPr>
              <w:spacing w:after="0"/>
              <w:rPr>
                <w:rFonts w:ascii="Poppins" w:hAnsi="Poppins" w:cs="Poppins"/>
              </w:rPr>
            </w:pPr>
            <w:r w:rsidRPr="00C82E57">
              <w:rPr>
                <w:rFonts w:ascii="Poppins" w:hAnsi="Poppins" w:cs="Poppins"/>
              </w:rPr>
              <w:t xml:space="preserve">Do It Now retrieval </w:t>
            </w:r>
            <w:r w:rsidRPr="00C82E57">
              <w:rPr>
                <w:rFonts w:ascii="Times New Roman" w:hAnsi="Times New Roman" w:cs="Times New Roman"/>
              </w:rPr>
              <w:t>→</w:t>
            </w:r>
            <w:r w:rsidRPr="00C82E57">
              <w:rPr>
                <w:rFonts w:ascii="Poppins" w:hAnsi="Poppins" w:cs="Poppins"/>
              </w:rPr>
              <w:t xml:space="preserve"> Apply It transferring a secure earlier skill </w:t>
            </w:r>
            <w:r w:rsidRPr="00C82E57">
              <w:rPr>
                <w:rFonts w:ascii="Times New Roman" w:hAnsi="Times New Roman" w:cs="Times New Roman"/>
              </w:rPr>
              <w:t>→</w:t>
            </w:r>
            <w:r w:rsidRPr="00C82E57">
              <w:rPr>
                <w:rFonts w:ascii="Poppins" w:hAnsi="Poppins" w:cs="Poppins"/>
              </w:rPr>
              <w:t xml:space="preserve"> Can I and explicit teaching </w:t>
            </w:r>
            <w:r w:rsidRPr="00C82E57">
              <w:rPr>
                <w:rFonts w:ascii="Times New Roman" w:hAnsi="Times New Roman" w:cs="Times New Roman"/>
              </w:rPr>
              <w:t>→</w:t>
            </w:r>
            <w:r w:rsidRPr="00C82E57">
              <w:rPr>
                <w:rFonts w:ascii="Poppins" w:hAnsi="Poppins" w:cs="Poppins"/>
              </w:rPr>
              <w:t xml:space="preserve"> Demonstration and guided experiment </w:t>
            </w:r>
            <w:r w:rsidRPr="00C82E57">
              <w:rPr>
                <w:rFonts w:ascii="Times New Roman" w:hAnsi="Times New Roman" w:cs="Times New Roman"/>
              </w:rPr>
              <w:t>→</w:t>
            </w:r>
            <w:r w:rsidRPr="00C82E57">
              <w:rPr>
                <w:rFonts w:ascii="Poppins" w:hAnsi="Poppins" w:cs="Poppins"/>
              </w:rPr>
              <w:t xml:space="preserve"> Personal practical application </w:t>
            </w:r>
            <w:r w:rsidRPr="00C82E57">
              <w:rPr>
                <w:rFonts w:ascii="Times New Roman" w:hAnsi="Times New Roman" w:cs="Times New Roman"/>
              </w:rPr>
              <w:t>→</w:t>
            </w:r>
            <w:r w:rsidRPr="00C82E57">
              <w:rPr>
                <w:rFonts w:ascii="Poppins" w:hAnsi="Poppins" w:cs="Poppins"/>
              </w:rPr>
              <w:t xml:space="preserve"> Review and refinement. Retrieval is practical or oral; UKS2 includes MC and true–false checks.</w:t>
            </w:r>
          </w:p>
        </w:tc>
      </w:tr>
      <w:tr w:rsidR="00290C37" w:rsidRPr="00C82E57" w14:paraId="6355D80E" w14:textId="77777777">
        <w:trPr>
          <w:cantSplit/>
        </w:trPr>
        <w:tc>
          <w:tcPr>
            <w:tcW w:w="1613" w:type="dxa"/>
            <w:shd w:val="clear" w:color="auto" w:fill="E9EEF2"/>
            <w:tcMar>
              <w:top w:w="55" w:type="dxa"/>
              <w:left w:w="55" w:type="dxa"/>
              <w:bottom w:w="55" w:type="dxa"/>
              <w:right w:w="55" w:type="dxa"/>
            </w:tcMar>
            <w:vAlign w:val="center"/>
          </w:tcPr>
          <w:p w14:paraId="30965359" w14:textId="77777777" w:rsidR="00290C37" w:rsidRPr="00C82E57" w:rsidRDefault="005C0DF6">
            <w:pPr>
              <w:spacing w:after="0"/>
              <w:rPr>
                <w:rFonts w:ascii="Poppins" w:hAnsi="Poppins" w:cs="Poppins"/>
              </w:rPr>
            </w:pPr>
            <w:r w:rsidRPr="00C82E57">
              <w:rPr>
                <w:rFonts w:ascii="Poppins" w:hAnsi="Poppins" w:cs="Poppins"/>
                <w:b/>
              </w:rPr>
              <w:t>Non-Negotiables</w:t>
            </w:r>
          </w:p>
        </w:tc>
        <w:tc>
          <w:tcPr>
            <w:tcW w:w="8853" w:type="dxa"/>
            <w:tcMar>
              <w:top w:w="55" w:type="dxa"/>
              <w:left w:w="55" w:type="dxa"/>
              <w:bottom w:w="55" w:type="dxa"/>
              <w:right w:w="55" w:type="dxa"/>
            </w:tcMar>
            <w:vAlign w:val="center"/>
          </w:tcPr>
          <w:p w14:paraId="12084BEF" w14:textId="77777777" w:rsidR="00290C37" w:rsidRPr="00C82E57" w:rsidRDefault="005C0DF6">
            <w:pPr>
              <w:spacing w:after="0"/>
              <w:rPr>
                <w:rFonts w:ascii="Poppins" w:hAnsi="Poppins" w:cs="Poppins"/>
              </w:rPr>
            </w:pPr>
            <w:r w:rsidRPr="00C82E57">
              <w:rPr>
                <w:rFonts w:ascii="Poppins" w:hAnsi="Poppins" w:cs="Poppins"/>
              </w:rPr>
              <w:t>Teach no more than three components per lesson towards the coloured composites. Explicitly model technical vocabulary and control. Use accurate artist and cultural contexts. Preserve personal decisions; inspiration does not require copying. Do not assess artistic success by neatness or identical outcomes.</w:t>
            </w:r>
          </w:p>
        </w:tc>
      </w:tr>
      <w:tr w:rsidR="00290C37" w:rsidRPr="00C82E57" w14:paraId="6D77FC6B" w14:textId="77777777">
        <w:trPr>
          <w:cantSplit/>
        </w:trPr>
        <w:tc>
          <w:tcPr>
            <w:tcW w:w="1613" w:type="dxa"/>
            <w:shd w:val="clear" w:color="auto" w:fill="E9EEF2"/>
            <w:tcMar>
              <w:top w:w="55" w:type="dxa"/>
              <w:left w:w="55" w:type="dxa"/>
              <w:bottom w:w="55" w:type="dxa"/>
              <w:right w:w="55" w:type="dxa"/>
            </w:tcMar>
            <w:vAlign w:val="center"/>
          </w:tcPr>
          <w:p w14:paraId="6F4E6ED2" w14:textId="77777777" w:rsidR="00290C37" w:rsidRPr="00C82E57" w:rsidRDefault="005C0DF6">
            <w:pPr>
              <w:spacing w:after="0"/>
              <w:rPr>
                <w:rFonts w:ascii="Poppins" w:hAnsi="Poppins" w:cs="Poppins"/>
              </w:rPr>
            </w:pPr>
            <w:r w:rsidRPr="00C82E57">
              <w:rPr>
                <w:rFonts w:ascii="Poppins" w:hAnsi="Poppins" w:cs="Poppins"/>
                <w:b/>
              </w:rPr>
              <w:t>Teacher Expectations</w:t>
            </w:r>
          </w:p>
        </w:tc>
        <w:tc>
          <w:tcPr>
            <w:tcW w:w="8853" w:type="dxa"/>
            <w:tcMar>
              <w:top w:w="55" w:type="dxa"/>
              <w:left w:w="55" w:type="dxa"/>
              <w:bottom w:w="55" w:type="dxa"/>
              <w:right w:w="55" w:type="dxa"/>
            </w:tcMar>
            <w:vAlign w:val="center"/>
          </w:tcPr>
          <w:p w14:paraId="2EFE510C" w14:textId="77777777" w:rsidR="00290C37" w:rsidRPr="00C82E57" w:rsidRDefault="005C0DF6">
            <w:pPr>
              <w:spacing w:after="0"/>
              <w:rPr>
                <w:rFonts w:ascii="Poppins" w:hAnsi="Poppins" w:cs="Poppins"/>
              </w:rPr>
            </w:pPr>
            <w:r w:rsidRPr="00C82E57">
              <w:rPr>
                <w:rFonts w:ascii="Poppins" w:hAnsi="Poppins" w:cs="Poppins"/>
              </w:rPr>
              <w:t>Prepare the selected artworks and test materials or processes. Model observation, technical trials and revision. Make visible connections from familiar marks and mixtures to proportion, depth, expressive choices and three-dimensional construction.</w:t>
            </w:r>
          </w:p>
        </w:tc>
      </w:tr>
      <w:tr w:rsidR="00290C37" w:rsidRPr="00C82E57" w14:paraId="14F4F5B3" w14:textId="77777777">
        <w:trPr>
          <w:cantSplit/>
        </w:trPr>
        <w:tc>
          <w:tcPr>
            <w:tcW w:w="1613" w:type="dxa"/>
            <w:shd w:val="clear" w:color="auto" w:fill="E9EEF2"/>
            <w:tcMar>
              <w:top w:w="55" w:type="dxa"/>
              <w:left w:w="55" w:type="dxa"/>
              <w:bottom w:w="55" w:type="dxa"/>
              <w:right w:w="55" w:type="dxa"/>
            </w:tcMar>
            <w:vAlign w:val="center"/>
          </w:tcPr>
          <w:p w14:paraId="2F1B8484" w14:textId="77777777" w:rsidR="00290C37" w:rsidRPr="00C82E57" w:rsidRDefault="005C0DF6">
            <w:pPr>
              <w:spacing w:after="0"/>
              <w:rPr>
                <w:rFonts w:ascii="Poppins" w:hAnsi="Poppins" w:cs="Poppins"/>
              </w:rPr>
            </w:pPr>
            <w:r w:rsidRPr="00C82E57">
              <w:rPr>
                <w:rFonts w:ascii="Poppins" w:hAnsi="Poppins" w:cs="Poppins"/>
                <w:b/>
              </w:rPr>
              <w:lastRenderedPageBreak/>
              <w:t>Assessment</w:t>
            </w:r>
          </w:p>
        </w:tc>
        <w:tc>
          <w:tcPr>
            <w:tcW w:w="8853" w:type="dxa"/>
            <w:tcMar>
              <w:top w:w="55" w:type="dxa"/>
              <w:left w:w="55" w:type="dxa"/>
              <w:bottom w:w="55" w:type="dxa"/>
              <w:right w:w="55" w:type="dxa"/>
            </w:tcMar>
            <w:vAlign w:val="center"/>
          </w:tcPr>
          <w:p w14:paraId="4DB7884E" w14:textId="77777777" w:rsidR="00290C37" w:rsidRPr="00C82E57" w:rsidRDefault="005C0DF6">
            <w:pPr>
              <w:spacing w:after="0"/>
              <w:rPr>
                <w:rFonts w:ascii="Poppins" w:hAnsi="Poppins" w:cs="Poppins"/>
              </w:rPr>
            </w:pPr>
            <w:r w:rsidRPr="00C82E57">
              <w:rPr>
                <w:rFonts w:ascii="Poppins" w:hAnsi="Poppins" w:cs="Poppins"/>
              </w:rPr>
              <w:t>Use experiments, sketchbook development, practical work and brief explanations against separate year-group expectations. Check mixing, joins and technique through the process, because the finished artwork alone cannot establish them.</w:t>
            </w:r>
          </w:p>
        </w:tc>
      </w:tr>
      <w:tr w:rsidR="00290C37" w:rsidRPr="00C82E57" w14:paraId="6E42D802" w14:textId="77777777">
        <w:trPr>
          <w:cantSplit/>
        </w:trPr>
        <w:tc>
          <w:tcPr>
            <w:tcW w:w="1613" w:type="dxa"/>
            <w:shd w:val="clear" w:color="auto" w:fill="E9EEF2"/>
            <w:tcMar>
              <w:top w:w="55" w:type="dxa"/>
              <w:left w:w="55" w:type="dxa"/>
              <w:bottom w:w="55" w:type="dxa"/>
              <w:right w:w="55" w:type="dxa"/>
            </w:tcMar>
            <w:vAlign w:val="center"/>
          </w:tcPr>
          <w:p w14:paraId="148293F2" w14:textId="77777777" w:rsidR="00290C37" w:rsidRPr="00C82E57" w:rsidRDefault="005C0DF6">
            <w:pPr>
              <w:spacing w:after="0"/>
              <w:rPr>
                <w:rFonts w:ascii="Poppins" w:hAnsi="Poppins" w:cs="Poppins"/>
              </w:rPr>
            </w:pPr>
            <w:r w:rsidRPr="00C82E57">
              <w:rPr>
                <w:rFonts w:ascii="Poppins" w:hAnsi="Poppins" w:cs="Poppins"/>
                <w:b/>
              </w:rPr>
              <w:t>Vocabulary</w:t>
            </w:r>
          </w:p>
        </w:tc>
        <w:tc>
          <w:tcPr>
            <w:tcW w:w="8853" w:type="dxa"/>
            <w:tcMar>
              <w:top w:w="55" w:type="dxa"/>
              <w:left w:w="55" w:type="dxa"/>
              <w:bottom w:w="55" w:type="dxa"/>
              <w:right w:w="55" w:type="dxa"/>
            </w:tcMar>
            <w:vAlign w:val="center"/>
          </w:tcPr>
          <w:p w14:paraId="70725C10" w14:textId="77777777" w:rsidR="00290C37" w:rsidRPr="00C82E57" w:rsidRDefault="005C0DF6">
            <w:pPr>
              <w:spacing w:after="0"/>
              <w:rPr>
                <w:rFonts w:ascii="Poppins" w:hAnsi="Poppins" w:cs="Poppins"/>
              </w:rPr>
            </w:pPr>
            <w:r w:rsidRPr="00C82E57">
              <w:rPr>
                <w:rFonts w:ascii="Poppins" w:hAnsi="Poppins" w:cs="Poppins"/>
              </w:rPr>
              <w:t>Teach and revisit line, shape, colour, texture, value, form, pattern, composition, proportion, perspective, watercolour, collage and sculpture, alongside each unit’s precise technique vocabulary.</w:t>
            </w:r>
          </w:p>
        </w:tc>
      </w:tr>
      <w:tr w:rsidR="00290C37" w:rsidRPr="00C82E57" w14:paraId="70FCCFA9" w14:textId="77777777">
        <w:trPr>
          <w:cantSplit/>
        </w:trPr>
        <w:tc>
          <w:tcPr>
            <w:tcW w:w="1613" w:type="dxa"/>
            <w:shd w:val="clear" w:color="auto" w:fill="E9EEF2"/>
            <w:tcMar>
              <w:top w:w="55" w:type="dxa"/>
              <w:left w:w="55" w:type="dxa"/>
              <w:bottom w:w="55" w:type="dxa"/>
              <w:right w:w="55" w:type="dxa"/>
            </w:tcMar>
            <w:vAlign w:val="center"/>
          </w:tcPr>
          <w:p w14:paraId="1565AADB" w14:textId="77777777" w:rsidR="00290C37" w:rsidRPr="00C82E57" w:rsidRDefault="005C0DF6">
            <w:pPr>
              <w:spacing w:after="0"/>
              <w:rPr>
                <w:rFonts w:ascii="Poppins" w:hAnsi="Poppins" w:cs="Poppins"/>
              </w:rPr>
            </w:pPr>
            <w:r w:rsidRPr="00C82E57">
              <w:rPr>
                <w:rFonts w:ascii="Poppins" w:hAnsi="Poppins" w:cs="Poppins"/>
                <w:b/>
              </w:rPr>
              <w:t>Adaptive Teaching</w:t>
            </w:r>
          </w:p>
        </w:tc>
        <w:tc>
          <w:tcPr>
            <w:tcW w:w="8853" w:type="dxa"/>
            <w:tcMar>
              <w:top w:w="55" w:type="dxa"/>
              <w:left w:w="55" w:type="dxa"/>
              <w:bottom w:w="55" w:type="dxa"/>
              <w:right w:w="55" w:type="dxa"/>
            </w:tcMar>
            <w:vAlign w:val="center"/>
          </w:tcPr>
          <w:p w14:paraId="78585D36" w14:textId="77777777" w:rsidR="00290C37" w:rsidRPr="00C82E57" w:rsidRDefault="005C0DF6">
            <w:pPr>
              <w:spacing w:after="0"/>
              <w:rPr>
                <w:rFonts w:ascii="Poppins" w:hAnsi="Poppins" w:cs="Poppins"/>
              </w:rPr>
            </w:pPr>
            <w:r w:rsidRPr="00C82E57">
              <w:rPr>
                <w:rFonts w:ascii="Poppins" w:hAnsi="Poppins" w:cs="Poppins"/>
              </w:rPr>
              <w:t>Adapt grip, tools, scale, materials, visual prompts and recording while retaining the artistic intention and child’s choices. Accept pointing, gesture and recorded speech. Extend challenge through comparison, control and justified refinement.</w:t>
            </w:r>
          </w:p>
        </w:tc>
      </w:tr>
      <w:tr w:rsidR="00290C37" w:rsidRPr="00C82E57" w14:paraId="2923A4EC" w14:textId="77777777">
        <w:trPr>
          <w:cantSplit/>
        </w:trPr>
        <w:tc>
          <w:tcPr>
            <w:tcW w:w="1613" w:type="dxa"/>
            <w:shd w:val="clear" w:color="auto" w:fill="E9EEF2"/>
            <w:tcMar>
              <w:top w:w="55" w:type="dxa"/>
              <w:left w:w="55" w:type="dxa"/>
              <w:bottom w:w="55" w:type="dxa"/>
              <w:right w:w="55" w:type="dxa"/>
            </w:tcMar>
            <w:vAlign w:val="center"/>
          </w:tcPr>
          <w:p w14:paraId="2DB767BA" w14:textId="77777777" w:rsidR="00290C37" w:rsidRPr="00C82E57" w:rsidRDefault="005C0DF6">
            <w:pPr>
              <w:spacing w:after="0"/>
              <w:rPr>
                <w:rFonts w:ascii="Poppins" w:hAnsi="Poppins" w:cs="Poppins"/>
              </w:rPr>
            </w:pPr>
            <w:r w:rsidRPr="00C82E57">
              <w:rPr>
                <w:rFonts w:ascii="Poppins" w:hAnsi="Poppins" w:cs="Poppins"/>
                <w:b/>
              </w:rPr>
              <w:t>Resources and Enrichment</w:t>
            </w:r>
          </w:p>
        </w:tc>
        <w:tc>
          <w:tcPr>
            <w:tcW w:w="8853" w:type="dxa"/>
            <w:tcMar>
              <w:top w:w="55" w:type="dxa"/>
              <w:left w:w="55" w:type="dxa"/>
              <w:bottom w:w="55" w:type="dxa"/>
              <w:right w:w="55" w:type="dxa"/>
            </w:tcMar>
            <w:vAlign w:val="center"/>
          </w:tcPr>
          <w:p w14:paraId="7013229C" w14:textId="77777777" w:rsidR="00290C37" w:rsidRPr="00C82E57" w:rsidRDefault="005C0DF6">
            <w:pPr>
              <w:spacing w:after="0"/>
              <w:rPr>
                <w:rFonts w:ascii="Poppins" w:hAnsi="Poppins" w:cs="Poppins"/>
              </w:rPr>
            </w:pPr>
            <w:r w:rsidRPr="00C82E57">
              <w:rPr>
                <w:rFonts w:ascii="Poppins" w:hAnsi="Poppins" w:cs="Poppins"/>
              </w:rPr>
              <w:t>Use MW MTPs, aligned Grammarsaurus resources, attributed artworks, photographs, drawing tools, paint, collage and clay materials. Study selected examples including Hilma af Klint, Ted Harrison, Dürer, Beatrix Potter and Patrick Hughes; connect observations with personal work.</w:t>
            </w:r>
          </w:p>
        </w:tc>
      </w:tr>
    </w:tbl>
    <w:p w14:paraId="577ABB17" w14:textId="77777777" w:rsidR="00290C37" w:rsidRPr="00C82E57" w:rsidRDefault="005C0DF6">
      <w:pPr>
        <w:pStyle w:val="Heading1"/>
        <w:rPr>
          <w:rFonts w:ascii="Poppins" w:hAnsi="Poppins" w:cs="Poppins"/>
        </w:rPr>
      </w:pPr>
      <w:r w:rsidRPr="00C82E57">
        <w:rPr>
          <w:rFonts w:ascii="Poppins" w:hAnsi="Poppins" w:cs="Poppins"/>
        </w:rPr>
        <w:t>Impact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13"/>
        <w:gridCol w:w="8853"/>
      </w:tblGrid>
      <w:tr w:rsidR="00290C37" w:rsidRPr="00C82E57" w14:paraId="533220DD" w14:textId="77777777">
        <w:trPr>
          <w:cantSplit/>
        </w:trPr>
        <w:tc>
          <w:tcPr>
            <w:tcW w:w="1613" w:type="dxa"/>
            <w:shd w:val="clear" w:color="auto" w:fill="E9EEF2"/>
            <w:tcMar>
              <w:top w:w="55" w:type="dxa"/>
              <w:left w:w="55" w:type="dxa"/>
              <w:bottom w:w="55" w:type="dxa"/>
              <w:right w:w="55" w:type="dxa"/>
            </w:tcMar>
            <w:vAlign w:val="center"/>
          </w:tcPr>
          <w:p w14:paraId="1A683487" w14:textId="77777777" w:rsidR="00290C37" w:rsidRPr="00C82E57" w:rsidRDefault="005C0DF6">
            <w:pPr>
              <w:spacing w:after="0"/>
              <w:rPr>
                <w:rFonts w:ascii="Poppins" w:hAnsi="Poppins" w:cs="Poppins"/>
              </w:rPr>
            </w:pPr>
            <w:r w:rsidRPr="00C82E57">
              <w:rPr>
                <w:rFonts w:ascii="Poppins" w:hAnsi="Poppins" w:cs="Poppins"/>
                <w:b/>
              </w:rPr>
              <w:t>Assessment</w:t>
            </w:r>
          </w:p>
        </w:tc>
        <w:tc>
          <w:tcPr>
            <w:tcW w:w="8853" w:type="dxa"/>
            <w:tcMar>
              <w:top w:w="55" w:type="dxa"/>
              <w:left w:w="55" w:type="dxa"/>
              <w:bottom w:w="55" w:type="dxa"/>
              <w:right w:w="55" w:type="dxa"/>
            </w:tcMar>
            <w:vAlign w:val="center"/>
          </w:tcPr>
          <w:p w14:paraId="2AB3EA59" w14:textId="77777777" w:rsidR="00290C37" w:rsidRPr="00C82E57" w:rsidRDefault="005C0DF6">
            <w:pPr>
              <w:spacing w:after="0"/>
              <w:rPr>
                <w:rFonts w:ascii="Poppins" w:hAnsi="Poppins" w:cs="Poppins"/>
              </w:rPr>
            </w:pPr>
            <w:r w:rsidRPr="00C82E57">
              <w:rPr>
                <w:rFonts w:ascii="Poppins" w:hAnsi="Poppins" w:cs="Poppins"/>
              </w:rPr>
              <w:t>Look for increasingly purposeful technique and choices pupils can explain. Separate visible evidence from interpretation. Different viewers may respond differently; an environmental artwork’s intended message is not proof of changed behaviour.</w:t>
            </w:r>
          </w:p>
        </w:tc>
      </w:tr>
      <w:tr w:rsidR="00290C37" w:rsidRPr="00C82E57" w14:paraId="1DC2379F" w14:textId="77777777">
        <w:trPr>
          <w:cantSplit/>
        </w:trPr>
        <w:tc>
          <w:tcPr>
            <w:tcW w:w="1613" w:type="dxa"/>
            <w:shd w:val="clear" w:color="auto" w:fill="E9EEF2"/>
            <w:tcMar>
              <w:top w:w="55" w:type="dxa"/>
              <w:left w:w="55" w:type="dxa"/>
              <w:bottom w:w="55" w:type="dxa"/>
              <w:right w:w="55" w:type="dxa"/>
            </w:tcMar>
            <w:vAlign w:val="center"/>
          </w:tcPr>
          <w:p w14:paraId="45239188" w14:textId="77777777" w:rsidR="00290C37" w:rsidRPr="00C82E57" w:rsidRDefault="005C0DF6">
            <w:pPr>
              <w:spacing w:after="0"/>
              <w:rPr>
                <w:rFonts w:ascii="Poppins" w:hAnsi="Poppins" w:cs="Poppins"/>
              </w:rPr>
            </w:pPr>
            <w:r w:rsidRPr="00C82E57">
              <w:rPr>
                <w:rFonts w:ascii="Poppins" w:hAnsi="Poppins" w:cs="Poppins"/>
                <w:b/>
              </w:rPr>
              <w:t>Evidencing Progress</w:t>
            </w:r>
          </w:p>
        </w:tc>
        <w:tc>
          <w:tcPr>
            <w:tcW w:w="8853" w:type="dxa"/>
            <w:tcMar>
              <w:top w:w="55" w:type="dxa"/>
              <w:left w:w="55" w:type="dxa"/>
              <w:bottom w:w="55" w:type="dxa"/>
              <w:right w:w="55" w:type="dxa"/>
            </w:tcMar>
            <w:vAlign w:val="center"/>
          </w:tcPr>
          <w:p w14:paraId="0092E0AF" w14:textId="77777777" w:rsidR="00290C37" w:rsidRPr="00C82E57" w:rsidRDefault="005C0DF6">
            <w:pPr>
              <w:spacing w:after="0"/>
              <w:rPr>
                <w:rFonts w:ascii="Poppins" w:hAnsi="Poppins" w:cs="Poppins"/>
              </w:rPr>
            </w:pPr>
            <w:r w:rsidRPr="00C82E57">
              <w:rPr>
                <w:rFonts w:ascii="Poppins" w:hAnsi="Poppins" w:cs="Poppins"/>
              </w:rPr>
              <w:t>Trials, sketchbooks, drawings, paintings, collages, sculptures and process photographs show increasing observation, technical control, independence and refinement across media.</w:t>
            </w:r>
          </w:p>
        </w:tc>
      </w:tr>
      <w:tr w:rsidR="00290C37" w:rsidRPr="00C82E57" w14:paraId="2759870D" w14:textId="77777777">
        <w:trPr>
          <w:cantSplit/>
        </w:trPr>
        <w:tc>
          <w:tcPr>
            <w:tcW w:w="1613" w:type="dxa"/>
            <w:shd w:val="clear" w:color="auto" w:fill="E9EEF2"/>
            <w:tcMar>
              <w:top w:w="55" w:type="dxa"/>
              <w:left w:w="55" w:type="dxa"/>
              <w:bottom w:w="55" w:type="dxa"/>
              <w:right w:w="55" w:type="dxa"/>
            </w:tcMar>
            <w:vAlign w:val="center"/>
          </w:tcPr>
          <w:p w14:paraId="3EDCA262" w14:textId="77777777" w:rsidR="00290C37" w:rsidRPr="00C82E57" w:rsidRDefault="005C0DF6">
            <w:pPr>
              <w:spacing w:after="0"/>
              <w:rPr>
                <w:rFonts w:ascii="Poppins" w:hAnsi="Poppins" w:cs="Poppins"/>
              </w:rPr>
            </w:pPr>
            <w:r w:rsidRPr="00C82E57">
              <w:rPr>
                <w:rFonts w:ascii="Poppins" w:hAnsi="Poppins" w:cs="Poppins"/>
                <w:b/>
              </w:rPr>
              <w:t>Pupil Voice</w:t>
            </w:r>
          </w:p>
        </w:tc>
        <w:tc>
          <w:tcPr>
            <w:tcW w:w="8853" w:type="dxa"/>
            <w:tcMar>
              <w:top w:w="55" w:type="dxa"/>
              <w:left w:w="55" w:type="dxa"/>
              <w:bottom w:w="55" w:type="dxa"/>
              <w:right w:w="55" w:type="dxa"/>
            </w:tcMar>
            <w:vAlign w:val="center"/>
          </w:tcPr>
          <w:p w14:paraId="314E63DB" w14:textId="77777777" w:rsidR="00290C37" w:rsidRPr="00C82E57" w:rsidRDefault="005C0DF6">
            <w:pPr>
              <w:spacing w:after="0"/>
              <w:rPr>
                <w:rFonts w:ascii="Poppins" w:hAnsi="Poppins" w:cs="Poppins"/>
              </w:rPr>
            </w:pPr>
            <w:r w:rsidRPr="00C82E57">
              <w:rPr>
                <w:rFonts w:ascii="Poppins" w:hAnsi="Poppins" w:cs="Poppins"/>
              </w:rPr>
              <w:t>Pupils identify an observed artist feature, explain what they adapted, justify a material or technique and describe how a specific revision changed the result.</w:t>
            </w:r>
          </w:p>
        </w:tc>
      </w:tr>
      <w:tr w:rsidR="00290C37" w:rsidRPr="00C82E57" w14:paraId="1010BD96" w14:textId="77777777">
        <w:trPr>
          <w:cantSplit/>
        </w:trPr>
        <w:tc>
          <w:tcPr>
            <w:tcW w:w="1613" w:type="dxa"/>
            <w:shd w:val="clear" w:color="auto" w:fill="E9EEF2"/>
            <w:tcMar>
              <w:top w:w="55" w:type="dxa"/>
              <w:left w:w="55" w:type="dxa"/>
              <w:bottom w:w="55" w:type="dxa"/>
              <w:right w:w="55" w:type="dxa"/>
            </w:tcMar>
            <w:vAlign w:val="center"/>
          </w:tcPr>
          <w:p w14:paraId="309EC3EF" w14:textId="77777777" w:rsidR="00290C37" w:rsidRPr="00C82E57" w:rsidRDefault="005C0DF6">
            <w:pPr>
              <w:spacing w:after="0"/>
              <w:rPr>
                <w:rFonts w:ascii="Poppins" w:hAnsi="Poppins" w:cs="Poppins"/>
              </w:rPr>
            </w:pPr>
            <w:r w:rsidRPr="00C82E57">
              <w:rPr>
                <w:rFonts w:ascii="Poppins" w:hAnsi="Poppins" w:cs="Poppins"/>
                <w:b/>
              </w:rPr>
              <w:t>Monitoring and Evaluation</w:t>
            </w:r>
          </w:p>
        </w:tc>
        <w:tc>
          <w:tcPr>
            <w:tcW w:w="8853" w:type="dxa"/>
            <w:tcMar>
              <w:top w:w="55" w:type="dxa"/>
              <w:left w:w="55" w:type="dxa"/>
              <w:bottom w:w="55" w:type="dxa"/>
              <w:right w:w="55" w:type="dxa"/>
            </w:tcMar>
            <w:vAlign w:val="center"/>
          </w:tcPr>
          <w:p w14:paraId="55CF62DE" w14:textId="77777777" w:rsidR="00290C37" w:rsidRPr="00C82E57" w:rsidRDefault="005C0DF6">
            <w:pPr>
              <w:spacing w:after="0"/>
              <w:rPr>
                <w:rFonts w:ascii="Poppins" w:hAnsi="Poppins" w:cs="Poppins"/>
              </w:rPr>
            </w:pPr>
            <w:r w:rsidRPr="00C82E57">
              <w:rPr>
                <w:rFonts w:ascii="Poppins" w:hAnsi="Poppins" w:cs="Poppins"/>
              </w:rPr>
              <w:t>Subject leaders review MTP fidelity, practical outcomes, sketchbook or trial evidence, pupil discussion and year-group end points. Check that recurring knowledge supports new intentions and pupils retain ownership of creative decisions.</w:t>
            </w:r>
          </w:p>
        </w:tc>
      </w:tr>
    </w:tbl>
    <w:p w14:paraId="6D45DC49" w14:textId="77777777" w:rsidR="005C0DF6" w:rsidRPr="00C82E57" w:rsidRDefault="005C0DF6">
      <w:pPr>
        <w:rPr>
          <w:rFonts w:ascii="Poppins" w:hAnsi="Poppins" w:cs="Poppins"/>
        </w:rPr>
      </w:pPr>
    </w:p>
    <w:sectPr w:rsidR="005C0DF6" w:rsidRPr="00C82E57" w:rsidSect="00034616">
      <w:pgSz w:w="11906" w:h="16838"/>
      <w:pgMar w:top="605" w:right="720" w:bottom="605"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59228737">
    <w:abstractNumId w:val="8"/>
  </w:num>
  <w:num w:numId="2" w16cid:durableId="502088172">
    <w:abstractNumId w:val="6"/>
  </w:num>
  <w:num w:numId="3" w16cid:durableId="1579830326">
    <w:abstractNumId w:val="5"/>
  </w:num>
  <w:num w:numId="4" w16cid:durableId="2071926661">
    <w:abstractNumId w:val="4"/>
  </w:num>
  <w:num w:numId="5" w16cid:durableId="1346831464">
    <w:abstractNumId w:val="7"/>
  </w:num>
  <w:num w:numId="6" w16cid:durableId="1424107195">
    <w:abstractNumId w:val="3"/>
  </w:num>
  <w:num w:numId="7" w16cid:durableId="1789352381">
    <w:abstractNumId w:val="2"/>
  </w:num>
  <w:num w:numId="8" w16cid:durableId="1178890611">
    <w:abstractNumId w:val="1"/>
  </w:num>
  <w:num w:numId="9" w16cid:durableId="919488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2346"/>
    <w:rsid w:val="00290C37"/>
    <w:rsid w:val="0029639D"/>
    <w:rsid w:val="00326F90"/>
    <w:rsid w:val="005C0DF6"/>
    <w:rsid w:val="009973E7"/>
    <w:rsid w:val="00AA1D8D"/>
    <w:rsid w:val="00B47730"/>
    <w:rsid w:val="00C82E5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1FB211A"/>
  <w14:defaultImageDpi w14:val="300"/>
  <w15:docId w15:val="{2588CCD0-890D-4D31-85FE-DDD2D57DCD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40" w:line="240" w:lineRule="auto"/>
    </w:pPr>
    <w:rPr>
      <w:rFonts w:ascii="Arial" w:hAnsi="Arial"/>
      <w:color w:val="000000"/>
      <w:sz w:val="16"/>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sz w:val="1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contextualSpacing/>
    </w:pPr>
    <w:rPr>
      <w:rFonts w:asciiTheme="majorHAnsi" w:eastAsiaTheme="majorEastAsia" w:hAnsiTheme="majorHAnsi" w:cstheme="majorBidi"/>
      <w:b/>
      <w:spacing w:val="5"/>
      <w:kern w:val="28"/>
      <w:sz w:val="2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672</Words>
  <Characters>3833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Jen Alford</cp:lastModifiedBy>
  <cp:revision>2</cp:revision>
  <dcterms:created xsi:type="dcterms:W3CDTF">2026-10-13T10:43:00Z</dcterms:created>
  <dcterms:modified xsi:type="dcterms:W3CDTF">2026-10-13T10:43:00Z</dcterms:modified>
  <cp:category/>
</cp:coreProperties>
</file>